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template.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D0F22">
      <w:pPr>
        <w:pStyle w:val="20"/>
        <w:spacing w:line="276" w:lineRule="auto"/>
        <w:jc w:val="right"/>
        <w:rPr>
          <w:b/>
          <w:bCs/>
          <w:i w:val="0"/>
          <w:iCs/>
          <w:sz w:val="22"/>
          <w:szCs w:val="22"/>
        </w:rPr>
      </w:pPr>
      <w:r>
        <w:rPr>
          <w:b/>
          <w:bCs/>
          <w:i/>
          <w:iCs/>
          <w:sz w:val="22"/>
          <w:szCs w:val="22"/>
        </w:rPr>
        <w:t xml:space="preserve">Przegląd Europejski – European Studies Quarterly, </w:t>
      </w:r>
      <w:r>
        <w:rPr>
          <w:b/>
          <w:bCs/>
          <w:i w:val="0"/>
          <w:iCs/>
          <w:sz w:val="22"/>
          <w:szCs w:val="22"/>
        </w:rPr>
        <w:t>ISSN: 1641-2478</w:t>
      </w:r>
    </w:p>
    <w:p w14:paraId="794A7DFD">
      <w:pPr>
        <w:pStyle w:val="20"/>
        <w:spacing w:line="276" w:lineRule="auto"/>
        <w:jc w:val="right"/>
        <w:rPr>
          <w:b/>
          <w:bCs/>
          <w:i w:val="0"/>
          <w:iCs/>
          <w:sz w:val="22"/>
          <w:szCs w:val="22"/>
        </w:rPr>
      </w:pPr>
      <w:r>
        <w:rPr>
          <w:b/>
          <w:bCs/>
          <w:i w:val="0"/>
          <w:iCs/>
          <w:sz w:val="22"/>
          <w:szCs w:val="22"/>
        </w:rPr>
        <w:t xml:space="preserve">vol. …, no. … </w:t>
      </w:r>
      <w:r>
        <w:rPr>
          <w:i w:val="0"/>
          <w:iCs/>
          <w:color w:val="0070C0"/>
          <w:sz w:val="22"/>
          <w:szCs w:val="22"/>
        </w:rPr>
        <w:t>(wypełnia Redakcja)</w:t>
      </w:r>
    </w:p>
    <w:p w14:paraId="39D04FD1">
      <w:pPr>
        <w:pStyle w:val="20"/>
        <w:spacing w:line="276" w:lineRule="auto"/>
        <w:jc w:val="right"/>
        <w:rPr>
          <w:i w:val="0"/>
          <w:iCs/>
          <w:sz w:val="22"/>
          <w:szCs w:val="22"/>
        </w:rPr>
      </w:pPr>
      <w:r>
        <w:rPr>
          <w:i w:val="0"/>
          <w:iCs/>
          <w:sz w:val="22"/>
          <w:szCs w:val="22"/>
        </w:rPr>
        <w:t xml:space="preserve">Copyright © by </w:t>
      </w:r>
      <w:r>
        <w:rPr>
          <w:i w:val="0"/>
          <w:iCs/>
          <w:color w:val="FF0000"/>
          <w:sz w:val="22"/>
          <w:szCs w:val="22"/>
        </w:rPr>
        <w:t>Imię i Nazwisko Autora</w:t>
      </w:r>
      <w:r>
        <w:rPr>
          <w:i w:val="0"/>
          <w:iCs/>
          <w:sz w:val="22"/>
          <w:szCs w:val="22"/>
        </w:rPr>
        <w:t>, 202</w:t>
      </w:r>
      <w:r>
        <w:rPr>
          <w:rFonts w:hint="default"/>
          <w:i w:val="0"/>
          <w:iCs/>
          <w:sz w:val="22"/>
          <w:szCs w:val="22"/>
          <w:lang w:val="pl-PL"/>
        </w:rPr>
        <w:t>5</w:t>
      </w:r>
    </w:p>
    <w:p w14:paraId="2CEE4A07">
      <w:pPr>
        <w:pStyle w:val="13"/>
        <w:spacing w:before="0" w:beforeAutospacing="0" w:after="0" w:afterAutospacing="0"/>
        <w:ind w:firstLine="709"/>
        <w:jc w:val="right"/>
        <w:rPr>
          <w:sz w:val="22"/>
          <w:szCs w:val="22"/>
          <w:lang w:val="en-GB"/>
        </w:rPr>
      </w:pPr>
      <w:r>
        <w:rPr>
          <w:sz w:val="22"/>
          <w:szCs w:val="22"/>
          <w:lang w:val="en-GB"/>
        </w:rPr>
        <w:t>Creative Commons Attribution 4.0 (CC BY 4.0)</w:t>
      </w:r>
    </w:p>
    <w:p w14:paraId="5FCD2E83">
      <w:pPr>
        <w:pStyle w:val="13"/>
        <w:spacing w:before="0" w:beforeAutospacing="0" w:after="0" w:afterAutospacing="0"/>
        <w:ind w:firstLine="709"/>
        <w:jc w:val="right"/>
        <w:rPr>
          <w:sz w:val="22"/>
          <w:szCs w:val="22"/>
          <w:lang w:val="en-GB"/>
        </w:rPr>
      </w:pPr>
      <w:r>
        <w:rPr>
          <w:sz w:val="22"/>
          <w:szCs w:val="22"/>
          <w:lang w:val="en-GB"/>
        </w:rPr>
        <w:t>http://creativecommons.org/licenses/by/4.0/</w:t>
      </w:r>
    </w:p>
    <w:p w14:paraId="290E115D">
      <w:pPr>
        <w:pStyle w:val="20"/>
        <w:spacing w:line="276" w:lineRule="auto"/>
        <w:jc w:val="right"/>
        <w:rPr>
          <w:b/>
          <w:i w:val="0"/>
          <w:iCs/>
          <w:color w:val="0070C0"/>
          <w:sz w:val="22"/>
          <w:szCs w:val="22"/>
        </w:rPr>
      </w:pPr>
      <w:r>
        <w:rPr>
          <w:i w:val="0"/>
          <w:iCs/>
          <w:sz w:val="22"/>
          <w:szCs w:val="22"/>
          <w:lang w:val="ru-RU"/>
        </w:rPr>
        <w:t xml:space="preserve">DOI: </w:t>
      </w:r>
      <w:r>
        <w:rPr>
          <w:i w:val="0"/>
          <w:iCs/>
          <w:sz w:val="22"/>
          <w:szCs w:val="22"/>
        </w:rPr>
        <w:t>….</w:t>
      </w:r>
      <w:r>
        <w:rPr>
          <w:i w:val="0"/>
          <w:iCs/>
          <w:color w:val="0070C0"/>
          <w:sz w:val="22"/>
          <w:szCs w:val="22"/>
        </w:rPr>
        <w:t xml:space="preserve"> (wypełnia Redakcja)</w:t>
      </w:r>
    </w:p>
    <w:p w14:paraId="1BBCF4C1">
      <w:pPr>
        <w:pStyle w:val="20"/>
        <w:pBdr>
          <w:top w:val="none" w:color="auto" w:sz="0" w:space="0"/>
          <w:left w:val="none" w:color="auto" w:sz="0" w:space="0"/>
          <w:bottom w:val="none" w:color="auto" w:sz="0" w:space="0"/>
          <w:right w:val="none" w:color="auto" w:sz="0" w:space="0"/>
          <w:between w:val="none" w:color="auto" w:sz="0" w:space="0"/>
        </w:pBdr>
        <w:spacing w:line="240" w:lineRule="auto"/>
        <w:jc w:val="center"/>
        <w:rPr>
          <w:i w:val="0"/>
          <w:iCs/>
          <w:color w:val="000000"/>
        </w:rPr>
      </w:pPr>
    </w:p>
    <w:p w14:paraId="3B064D08">
      <w:pPr>
        <w:pStyle w:val="20"/>
        <w:pBdr>
          <w:top w:val="none" w:color="auto" w:sz="0" w:space="0"/>
          <w:left w:val="none" w:color="auto" w:sz="0" w:space="0"/>
          <w:bottom w:val="none" w:color="auto" w:sz="0" w:space="0"/>
          <w:right w:val="none" w:color="auto" w:sz="0" w:space="0"/>
          <w:between w:val="none" w:color="auto" w:sz="0" w:space="0"/>
        </w:pBdr>
        <w:spacing w:before="100" w:after="100" w:line="276" w:lineRule="auto"/>
        <w:ind w:firstLine="0"/>
        <w:jc w:val="center"/>
        <w:rPr>
          <w:b/>
          <w:bCs/>
          <w:color w:val="000000"/>
          <w:sz w:val="36"/>
          <w:szCs w:val="36"/>
        </w:rPr>
      </w:pPr>
      <w:r>
        <w:rPr>
          <w:b/>
          <w:bCs/>
          <w:color w:val="FF0000"/>
          <w:sz w:val="36"/>
          <w:szCs w:val="36"/>
        </w:rPr>
        <w:t>Tytuł w języku polskim</w:t>
      </w:r>
      <w:r>
        <w:rPr>
          <w:b/>
          <w:bCs/>
          <w:color w:val="000000"/>
          <w:sz w:val="36"/>
          <w:szCs w:val="36"/>
        </w:rPr>
        <w:t xml:space="preserve"> (TNR 18, interlinia 1,15)</w:t>
      </w:r>
    </w:p>
    <w:p w14:paraId="7BC5F93B">
      <w:pPr>
        <w:pStyle w:val="20"/>
        <w:pBdr>
          <w:top w:val="none" w:color="auto" w:sz="0" w:space="0"/>
          <w:left w:val="none" w:color="auto" w:sz="0" w:space="0"/>
          <w:bottom w:val="none" w:color="auto" w:sz="0" w:space="0"/>
          <w:right w:val="none" w:color="auto" w:sz="0" w:space="0"/>
          <w:between w:val="none" w:color="auto" w:sz="0" w:space="0"/>
        </w:pBdr>
        <w:spacing w:before="100" w:after="100" w:line="240" w:lineRule="auto"/>
        <w:ind w:firstLine="0"/>
        <w:jc w:val="center"/>
        <w:rPr>
          <w:b/>
          <w:bCs/>
          <w:color w:val="000000"/>
        </w:rPr>
      </w:pPr>
    </w:p>
    <w:p w14:paraId="74F737A7">
      <w:pPr>
        <w:spacing w:before="240" w:line="276" w:lineRule="auto"/>
        <w:ind w:firstLine="0"/>
        <w:jc w:val="center"/>
        <w:rPr>
          <w:bCs/>
          <w:i/>
          <w:iCs/>
          <w:color w:val="FF0000"/>
          <w:sz w:val="28"/>
          <w:szCs w:val="28"/>
          <w:lang w:val="pl-PL"/>
        </w:rPr>
      </w:pPr>
      <w:r>
        <w:rPr>
          <w:b/>
          <w:color w:val="FF0000"/>
          <w:sz w:val="28"/>
          <w:szCs w:val="28"/>
          <w:lang w:val="pl-PL"/>
        </w:rPr>
        <w:t xml:space="preserve">Imię i nazwisko Autora, </w:t>
      </w:r>
      <w:r>
        <w:rPr>
          <w:bCs/>
          <w:i/>
          <w:iCs/>
          <w:color w:val="FF0000"/>
          <w:sz w:val="28"/>
          <w:szCs w:val="28"/>
          <w:lang w:val="pl-PL"/>
        </w:rPr>
        <w:t>afiliacja – tylko uczelnia! (państwo np. Polska)</w:t>
      </w:r>
    </w:p>
    <w:p w14:paraId="4B1EFF2C">
      <w:pPr>
        <w:spacing w:line="276" w:lineRule="auto"/>
        <w:ind w:firstLine="0"/>
        <w:jc w:val="center"/>
        <w:rPr>
          <w:color w:val="FF0000"/>
          <w:lang w:val="pl-PL"/>
        </w:rPr>
      </w:pPr>
      <w:r>
        <w:rPr>
          <w:color w:val="FF0000"/>
          <w:lang w:val="pl-PL"/>
        </w:rPr>
        <w:t>E-mail: ...@...</w:t>
      </w:r>
    </w:p>
    <w:p w14:paraId="7D35F237">
      <w:pPr>
        <w:spacing w:line="276" w:lineRule="auto"/>
        <w:ind w:firstLine="0"/>
        <w:jc w:val="center"/>
        <w:rPr>
          <w:rFonts w:hint="default" w:eastAsia="Times New Roman"/>
          <w:color w:val="FF0000"/>
          <w:lang w:val="pl-PL" w:eastAsia="ru-RU"/>
        </w:rPr>
      </w:pPr>
      <w:r>
        <w:rPr>
          <w:rFonts w:eastAsia="Times New Roman"/>
          <w:color w:val="FF0000"/>
          <w:lang w:val="en-GB" w:eastAsia="ru-RU"/>
        </w:rPr>
        <w:t>http://orcid.org/0000-000?-</w:t>
      </w:r>
      <w:r>
        <w:rPr>
          <w:rFonts w:hint="default" w:eastAsia="Times New Roman"/>
          <w:color w:val="FF0000"/>
          <w:lang w:val="pl-PL" w:eastAsia="ru-RU"/>
        </w:rPr>
        <w:t>????</w:t>
      </w:r>
      <w:r>
        <w:rPr>
          <w:rFonts w:eastAsia="Times New Roman"/>
          <w:color w:val="FF0000"/>
          <w:lang w:val="en-GB" w:eastAsia="ru-RU"/>
        </w:rPr>
        <w:t>-</w:t>
      </w:r>
      <w:r>
        <w:rPr>
          <w:rFonts w:hint="default" w:eastAsia="Times New Roman"/>
          <w:color w:val="FF0000"/>
          <w:lang w:val="pl-PL" w:eastAsia="ru-RU"/>
        </w:rPr>
        <w:t>????</w:t>
      </w:r>
    </w:p>
    <w:p w14:paraId="656025FC">
      <w:pPr>
        <w:spacing w:before="240"/>
        <w:ind w:firstLine="0"/>
        <w:contextualSpacing/>
        <w:rPr>
          <w:b/>
          <w:color w:val="FF0000"/>
          <w:lang w:val="pl-PL"/>
        </w:rPr>
      </w:pPr>
    </w:p>
    <w:p w14:paraId="740BA3C5">
      <w:pPr>
        <w:spacing w:before="240"/>
        <w:ind w:firstLine="0"/>
        <w:contextualSpacing/>
        <w:rPr>
          <w:b/>
          <w:color w:val="FF0000"/>
          <w:sz w:val="20"/>
          <w:szCs w:val="20"/>
          <w:lang w:val="pl-PL"/>
        </w:rPr>
      </w:pPr>
      <w:r>
        <w:rPr>
          <w:b/>
          <w:color w:val="FF0000"/>
          <w:sz w:val="20"/>
          <w:szCs w:val="20"/>
          <w:lang w:val="pl-PL"/>
        </w:rPr>
        <w:t>Streszczenie</w:t>
      </w:r>
    </w:p>
    <w:p w14:paraId="1F1DE145">
      <w:pPr>
        <w:spacing w:after="240" w:line="276" w:lineRule="auto"/>
        <w:ind w:firstLine="0"/>
        <w:contextualSpacing/>
        <w:rPr>
          <w:color w:val="000000" w:themeColor="text1"/>
          <w:sz w:val="22"/>
          <w:szCs w:val="22"/>
          <w:lang w:val="pl-PL"/>
          <w14:textFill>
            <w14:solidFill>
              <w14:schemeClr w14:val="tx1"/>
            </w14:solidFill>
          </w14:textFill>
        </w:rPr>
      </w:pPr>
      <w:r>
        <w:rPr>
          <w:color w:val="000000" w:themeColor="text1"/>
          <w:sz w:val="22"/>
          <w:szCs w:val="22"/>
          <w:lang w:val="pl-PL"/>
          <w14:textFill>
            <w14:solidFill>
              <w14:schemeClr w14:val="tx1"/>
            </w14:solidFill>
          </w14:textFill>
        </w:rPr>
        <w:t>Tekst streszczenia w języku polskim (TNR 1</w:t>
      </w:r>
      <w:r>
        <w:rPr>
          <w:rFonts w:hint="default"/>
          <w:color w:val="000000" w:themeColor="text1"/>
          <w:sz w:val="22"/>
          <w:szCs w:val="22"/>
          <w:lang w:val="pl-PL"/>
          <w14:textFill>
            <w14:solidFill>
              <w14:schemeClr w14:val="tx1"/>
            </w14:solidFill>
          </w14:textFill>
        </w:rPr>
        <w:t>0</w:t>
      </w:r>
      <w:r>
        <w:rPr>
          <w:color w:val="000000" w:themeColor="text1"/>
          <w:sz w:val="22"/>
          <w:szCs w:val="22"/>
          <w:lang w:val="pl-PL"/>
          <w14:textFill>
            <w14:solidFill>
              <w14:schemeClr w14:val="tx1"/>
            </w14:solidFill>
          </w14:textFill>
        </w:rPr>
        <w:t xml:space="preserve">, interlinia 1,15) – krótkie do 900 znaków. Nie powinno być wprowadzeniem do artykułu, ale zawierać informacje o problemie badawczym, zastosowanych metodach i wnioskach. Jest odrębną częścią artykułu, często występuje samodzielnie w bazach indeksacyjnych. </w:t>
      </w:r>
    </w:p>
    <w:p w14:paraId="510A0798">
      <w:pPr>
        <w:spacing w:after="240" w:line="276" w:lineRule="auto"/>
        <w:ind w:firstLine="0"/>
        <w:contextualSpacing/>
        <w:rPr>
          <w:color w:val="FF0000"/>
          <w:sz w:val="22"/>
          <w:szCs w:val="22"/>
          <w:lang w:val="pl-PL"/>
        </w:rPr>
      </w:pPr>
      <w:r>
        <w:rPr>
          <w:color w:val="000000" w:themeColor="text1"/>
          <w:sz w:val="22"/>
          <w:szCs w:val="22"/>
          <w:lang w:val="pl-PL"/>
          <w14:textFill>
            <w14:solidFill>
              <w14:schemeClr w14:val="tx1"/>
            </w14:solidFill>
          </w14:textFill>
        </w:rPr>
        <w:t>Proszę zapoznać się z</w:t>
      </w:r>
      <w:r>
        <w:rPr>
          <w:color w:val="FF0000"/>
          <w:sz w:val="22"/>
          <w:szCs w:val="22"/>
          <w:lang w:val="pl-PL"/>
        </w:rPr>
        <w:t xml:space="preserve"> </w:t>
      </w:r>
      <w:r>
        <w:fldChar w:fldCharType="begin"/>
      </w:r>
      <w:r>
        <w:instrText xml:space="preserve"> HYPERLINK "https://przegladeuropejski.com.pl/resources/html/cmsi/2268" </w:instrText>
      </w:r>
      <w:r>
        <w:fldChar w:fldCharType="separate"/>
      </w:r>
      <w:r>
        <w:rPr>
          <w:rStyle w:val="12"/>
          <w:sz w:val="22"/>
          <w:szCs w:val="22"/>
          <w:lang w:val="pl-PL"/>
        </w:rPr>
        <w:t>rekomendacjami dot. przygotowania streszczenia na naszej stronie.</w:t>
      </w:r>
      <w:r>
        <w:rPr>
          <w:rStyle w:val="12"/>
          <w:sz w:val="22"/>
          <w:szCs w:val="22"/>
          <w:lang w:val="pl-PL"/>
        </w:rPr>
        <w:fldChar w:fldCharType="end"/>
      </w:r>
    </w:p>
    <w:p w14:paraId="5A4C70A4">
      <w:pPr>
        <w:spacing w:before="120"/>
        <w:ind w:firstLine="0"/>
        <w:contextualSpacing/>
        <w:rPr>
          <w:b/>
          <w:color w:val="FF0000"/>
          <w:sz w:val="16"/>
          <w:szCs w:val="16"/>
          <w:lang w:val="pl-PL"/>
        </w:rPr>
      </w:pPr>
    </w:p>
    <w:p w14:paraId="1679557F">
      <w:pPr>
        <w:spacing w:before="120"/>
        <w:ind w:firstLine="0"/>
        <w:contextualSpacing/>
        <w:rPr>
          <w:color w:val="FF0000"/>
          <w:sz w:val="22"/>
          <w:szCs w:val="22"/>
          <w:lang w:val="pl-PL"/>
        </w:rPr>
      </w:pPr>
      <w:r>
        <w:rPr>
          <w:b/>
          <w:color w:val="FF0000"/>
          <w:sz w:val="20"/>
          <w:szCs w:val="20"/>
          <w:lang w:val="pl-PL"/>
        </w:rPr>
        <w:t>Słowa kluczowe:</w:t>
      </w:r>
      <w:r>
        <w:rPr>
          <w:b/>
          <w:color w:val="FF0000"/>
          <w:lang w:val="pl-PL"/>
        </w:rPr>
        <w:t xml:space="preserve"> </w:t>
      </w:r>
      <w:r>
        <w:rPr>
          <w:color w:val="000000" w:themeColor="text1"/>
          <w:sz w:val="22"/>
          <w:szCs w:val="22"/>
          <w:lang w:val="pl-PL"/>
          <w14:textFill>
            <w14:solidFill>
              <w14:schemeClr w14:val="tx1"/>
            </w14:solidFill>
          </w14:textFill>
        </w:rPr>
        <w:t>do pięciu słów kluczowych oddzielonych przecinkiem (TNR 1</w:t>
      </w:r>
      <w:r>
        <w:rPr>
          <w:rFonts w:hint="default"/>
          <w:color w:val="000000" w:themeColor="text1"/>
          <w:sz w:val="22"/>
          <w:szCs w:val="22"/>
          <w:lang w:val="pl-PL"/>
          <w14:textFill>
            <w14:solidFill>
              <w14:schemeClr w14:val="tx1"/>
            </w14:solidFill>
          </w14:textFill>
        </w:rPr>
        <w:t>0</w:t>
      </w:r>
      <w:r>
        <w:rPr>
          <w:color w:val="000000" w:themeColor="text1"/>
          <w:sz w:val="22"/>
          <w:szCs w:val="22"/>
          <w:lang w:val="pl-PL"/>
          <w14:textFill>
            <w14:solidFill>
              <w14:schemeClr w14:val="tx1"/>
            </w14:solidFill>
          </w14:textFill>
        </w:rPr>
        <w:t>, interlinia 1,15)</w:t>
      </w:r>
    </w:p>
    <w:p w14:paraId="4B03747F">
      <w:pPr>
        <w:spacing w:before="120"/>
        <w:ind w:firstLine="0"/>
        <w:contextualSpacing/>
        <w:rPr>
          <w:b/>
          <w:color w:val="FF0000"/>
          <w:lang w:val="pl-PL"/>
        </w:rPr>
      </w:pPr>
    </w:p>
    <w:p w14:paraId="47D196EB">
      <w:pPr>
        <w:spacing w:before="120"/>
        <w:ind w:firstLine="0"/>
        <w:contextualSpacing/>
        <w:rPr>
          <w:b/>
          <w:color w:val="FF0000"/>
          <w:lang w:val="pl-PL"/>
        </w:rPr>
      </w:pPr>
      <w:r>
        <w:rPr>
          <w:b/>
          <w:color w:val="FF0000"/>
          <w:lang w:val="pl-PL"/>
        </w:rPr>
        <w:t>Tytuł w jęz. angielskim (TNR 12, Bold, interlinia 1,5)</w:t>
      </w:r>
    </w:p>
    <w:p w14:paraId="4E978E89">
      <w:pPr>
        <w:spacing w:before="240" w:line="276" w:lineRule="auto"/>
        <w:ind w:firstLine="0"/>
        <w:contextualSpacing/>
        <w:rPr>
          <w:b/>
          <w:color w:val="FF0000"/>
          <w:sz w:val="20"/>
          <w:szCs w:val="20"/>
          <w:lang w:val="pl-PL"/>
        </w:rPr>
      </w:pPr>
      <w:r>
        <w:rPr>
          <w:b/>
          <w:color w:val="FF0000"/>
          <w:sz w:val="20"/>
          <w:szCs w:val="20"/>
          <w:lang w:val="pl-PL"/>
        </w:rPr>
        <w:t>Abstract</w:t>
      </w:r>
    </w:p>
    <w:p w14:paraId="2743FD74">
      <w:pPr>
        <w:spacing w:line="276" w:lineRule="auto"/>
        <w:ind w:firstLine="0"/>
        <w:contextualSpacing/>
        <w:rPr>
          <w:color w:val="000000" w:themeColor="text1"/>
          <w:lang w:val="pl-PL"/>
          <w14:textFill>
            <w14:solidFill>
              <w14:schemeClr w14:val="tx1"/>
            </w14:solidFill>
          </w14:textFill>
        </w:rPr>
      </w:pPr>
      <w:r>
        <w:rPr>
          <w:color w:val="000000" w:themeColor="text1"/>
          <w:sz w:val="22"/>
          <w:szCs w:val="22"/>
          <w:lang w:val="pl-PL"/>
          <w14:textFill>
            <w14:solidFill>
              <w14:schemeClr w14:val="tx1"/>
            </w14:solidFill>
          </w14:textFill>
        </w:rPr>
        <w:t>Tekst abstraktu w jęz. angielskim (TNR 11, interlinia 1,15)</w:t>
      </w:r>
    </w:p>
    <w:p w14:paraId="765F2341">
      <w:pPr>
        <w:ind w:firstLine="0"/>
        <w:contextualSpacing/>
        <w:rPr>
          <w:color w:val="FF0000"/>
          <w:sz w:val="22"/>
          <w:szCs w:val="22"/>
          <w:lang w:val="pl-PL"/>
        </w:rPr>
      </w:pPr>
      <w:r>
        <w:rPr>
          <w:b/>
          <w:color w:val="FF0000"/>
          <w:sz w:val="20"/>
          <w:szCs w:val="20"/>
          <w:lang w:val="pl-PL"/>
        </w:rPr>
        <w:t>Keywords:</w:t>
      </w:r>
      <w:r>
        <w:rPr>
          <w:b/>
          <w:color w:val="FF0000"/>
          <w:lang w:val="pl-PL"/>
        </w:rPr>
        <w:t xml:space="preserve"> </w:t>
      </w:r>
      <w:r>
        <w:rPr>
          <w:color w:val="FF0000"/>
          <w:sz w:val="22"/>
          <w:szCs w:val="22"/>
          <w:lang w:val="pl-PL"/>
        </w:rPr>
        <w:t>….</w:t>
      </w:r>
    </w:p>
    <w:p w14:paraId="3AD865D5">
      <w:pPr>
        <w:rPr>
          <w:lang w:val="pl-PL"/>
        </w:rPr>
      </w:pPr>
    </w:p>
    <w:p w14:paraId="1AC7618A">
      <w:pPr>
        <w:ind w:firstLine="567"/>
        <w:rPr>
          <w:lang w:val="pl-PL"/>
        </w:rPr>
      </w:pPr>
      <w:r>
        <w:rPr>
          <w:lang w:val="pl-PL"/>
        </w:rPr>
        <w:t>Tekst artykułu (TNR 12, interlinia 1,5</w:t>
      </w:r>
      <w:bookmarkStart w:id="0" w:name="_GoBack"/>
      <w:bookmarkEnd w:id="0"/>
      <w:r>
        <w:rPr>
          <w:lang w:val="pl-PL"/>
        </w:rPr>
        <w:t xml:space="preserve"> bez innych dodatkowych odstępów. Wcięty akapit pierwszego wiersza).</w:t>
      </w:r>
    </w:p>
    <w:p w14:paraId="6DF5B7B5">
      <w:pPr>
        <w:spacing w:before="240" w:after="240"/>
        <w:contextualSpacing/>
        <w:jc w:val="center"/>
        <w:rPr>
          <w:b/>
          <w:sz w:val="26"/>
          <w:szCs w:val="26"/>
          <w:lang w:val="pl-PL"/>
        </w:rPr>
      </w:pPr>
      <w:r>
        <w:rPr>
          <w:b/>
          <w:sz w:val="26"/>
          <w:szCs w:val="26"/>
          <w:lang w:val="pl-PL"/>
        </w:rPr>
        <w:t>Śródtytuł w artykule. Wyśrodkowany TNR 1</w:t>
      </w:r>
      <w:r>
        <w:rPr>
          <w:rFonts w:hint="default"/>
          <w:b/>
          <w:sz w:val="26"/>
          <w:szCs w:val="26"/>
          <w:lang w:val="pl-PL"/>
        </w:rPr>
        <w:t>3</w:t>
      </w:r>
      <w:r>
        <w:rPr>
          <w:b/>
          <w:sz w:val="26"/>
          <w:szCs w:val="26"/>
          <w:lang w:val="pl-PL"/>
        </w:rPr>
        <w:t>, Bold, interlinia 1,5</w:t>
      </w:r>
    </w:p>
    <w:p w14:paraId="06958D06">
      <w:pPr>
        <w:ind w:firstLine="567"/>
        <w:rPr>
          <w:lang w:val="pl-PL"/>
        </w:rPr>
      </w:pPr>
      <w:r>
        <w:rPr>
          <w:lang w:val="pl-PL"/>
        </w:rPr>
        <w:t xml:space="preserve">W tekstach przesyłanych do publikacji w „Przeglądzie Europejskim” stosować należy </w:t>
      </w:r>
      <w:r>
        <w:rPr>
          <w:u w:val="single"/>
          <w:lang w:val="pl-PL"/>
        </w:rPr>
        <w:t>tzw. harwardzki system odwołań do literatury</w:t>
      </w:r>
      <w:r>
        <w:rPr>
          <w:lang w:val="pl-PL"/>
        </w:rPr>
        <w:t>, polegający na umieszczaniu skróconych odniesień do przywoływanych źródeł w nawiasach bezpośrednio w głównej treści tekstu, nie zaś w przypisach. Dodatkowo konieczne jest sporządzenie bibliografii, zamieszczanej na końcu artykułu.</w:t>
      </w:r>
    </w:p>
    <w:p w14:paraId="324FD2CE">
      <w:pPr>
        <w:ind w:firstLine="567"/>
        <w:rPr>
          <w:lang w:val="pl-PL"/>
        </w:rPr>
      </w:pPr>
      <w:r>
        <w:rPr>
          <w:lang w:val="pl-PL"/>
        </w:rPr>
        <w:t xml:space="preserve">Jeżeli można określić autora danego źródła i rok jego publikacji, odwołanie przyjmuje następującą postać (Autor ROK), na przykład (Ruszkowski 2010), (Hix, Høyland 2011: s. 17). Gdy autorów jest więcej niż dwoje, stosuje się skrót „et al.” (et alii), np. (Jupille et al. 2003: s. 7; Pirozzi et al. 2017). Gdy prac autora z danego roku jest więcej niż jedna, do roku dodaje się litery alfabetu np. 2010a, 2010b etc. Tę samą zasadę stosuje się do dokumentów, które mają określonych autorów instytucjonalnych, np. (Komisja Europejska 2010: s. 5). W pozostałych przypadkach należy starać się maksymalnie zbliżyć do tej formuły. Gdy zamiast numeru strony pragnie się podać np. numer artykułu, paragrafu, ustępu lub rozdziału stosuje się po dwukropku odpowiedni skrót (art., par., ust., rozdz.). </w:t>
      </w:r>
    </w:p>
    <w:p w14:paraId="3B570872">
      <w:pPr>
        <w:ind w:firstLine="567"/>
        <w:rPr>
          <w:lang w:val="pl-PL"/>
        </w:rPr>
      </w:pPr>
      <w:r>
        <w:rPr>
          <w:lang w:val="pl-PL"/>
        </w:rPr>
        <w:t>Przykład:</w:t>
      </w:r>
    </w:p>
    <w:p w14:paraId="3560394A">
      <w:pPr>
        <w:ind w:firstLine="567"/>
        <w:rPr>
          <w:lang w:val="pl-PL"/>
        </w:rPr>
      </w:pPr>
      <w:r>
        <w:rPr>
          <w:lang w:val="pl-PL"/>
        </w:rPr>
        <w:t xml:space="preserve">„Dotychczas w literaturze polskiej i zagranicznej kontrolę przestrzegania zasady pomocniczości (subsydiarności) opisywano głównie przez pryzmat uwarunkowań formalno-prawnych (Pudło 2013, 2014, 2015). Zaś wnioski i oceny oparte były na doświadczeniu pierwszych dwóch lat funkcjonowania mechanizmu wczesnego ostrzegania (Adamiec 2012: s. 23–25; Grzelak, Łacny 2011; Kiiver 2012a,b).” </w:t>
      </w:r>
    </w:p>
    <w:p w14:paraId="47829098">
      <w:pPr>
        <w:spacing w:before="240" w:line="276" w:lineRule="auto"/>
        <w:ind w:firstLine="0"/>
        <w:rPr>
          <w:color w:val="000000" w:themeColor="text1"/>
          <w:sz w:val="20"/>
          <w:szCs w:val="20"/>
          <w:lang w:val="pl-PL"/>
          <w14:textFill>
            <w14:solidFill>
              <w14:schemeClr w14:val="tx1"/>
            </w14:solidFill>
          </w14:textFill>
        </w:rPr>
      </w:pPr>
      <w:r>
        <w:rPr>
          <w:b/>
          <w:color w:val="FF0000"/>
          <w:sz w:val="20"/>
          <w:szCs w:val="20"/>
          <w:lang w:val="pl-PL"/>
        </w:rPr>
        <w:t>Imię i nazwisko</w:t>
      </w:r>
      <w:r>
        <w:rPr>
          <w:color w:val="FF0000"/>
          <w:sz w:val="20"/>
          <w:szCs w:val="20"/>
          <w:lang w:val="pl-PL"/>
        </w:rPr>
        <w:t xml:space="preserve"> – </w:t>
      </w:r>
      <w:r>
        <w:rPr>
          <w:color w:val="000000" w:themeColor="text1"/>
          <w:sz w:val="20"/>
          <w:szCs w:val="20"/>
          <w:lang w:val="pl-PL"/>
          <w14:textFill>
            <w14:solidFill>
              <w14:schemeClr w14:val="tx1"/>
            </w14:solidFill>
          </w14:textFill>
        </w:rPr>
        <w:t xml:space="preserve">tytuł naukowy autora, miejsce zatrudnienia, zainteresowania badawcze, ewentualnie inne osiągnięcia oraz tytuły dwóch ważnych publikacji. </w:t>
      </w:r>
    </w:p>
    <w:p w14:paraId="76F1E059">
      <w:pPr>
        <w:spacing w:before="240" w:line="276" w:lineRule="auto"/>
        <w:ind w:firstLine="0"/>
        <w:rPr>
          <w:color w:val="FF0000"/>
          <w:sz w:val="20"/>
          <w:szCs w:val="20"/>
          <w:lang w:val="pl-PL"/>
        </w:rPr>
      </w:pPr>
      <w:r>
        <w:rPr>
          <w:b/>
          <w:color w:val="FF0000"/>
          <w:sz w:val="20"/>
          <w:szCs w:val="20"/>
          <w:lang w:val="pl-PL"/>
        </w:rPr>
        <w:t>Imię i nazwisko</w:t>
      </w:r>
      <w:r>
        <w:rPr>
          <w:color w:val="FF0000"/>
          <w:sz w:val="20"/>
          <w:szCs w:val="20"/>
          <w:lang w:val="pl-PL"/>
        </w:rPr>
        <w:t xml:space="preserve"> – </w:t>
      </w:r>
      <w:r>
        <w:rPr>
          <w:color w:val="000000" w:themeColor="text1"/>
          <w:sz w:val="20"/>
          <w:szCs w:val="20"/>
          <w:lang w:val="pl-PL"/>
          <w14:textFill>
            <w14:solidFill>
              <w14:schemeClr w14:val="tx1"/>
            </w14:solidFill>
          </w14:textFill>
        </w:rPr>
        <w:t>wersja anglojęzyczna.</w:t>
      </w:r>
      <w:r>
        <w:rPr>
          <w:color w:val="FF0000"/>
          <w:sz w:val="20"/>
          <w:szCs w:val="20"/>
          <w:lang w:val="pl-PL"/>
        </w:rPr>
        <w:t xml:space="preserve"> </w:t>
      </w:r>
    </w:p>
    <w:p w14:paraId="38389AF6">
      <w:pPr>
        <w:ind w:firstLine="0"/>
        <w:rPr>
          <w:lang w:val="pl-PL"/>
        </w:rPr>
      </w:pPr>
    </w:p>
    <w:p w14:paraId="6E9DA71B">
      <w:pPr>
        <w:ind w:left="426" w:hanging="426"/>
        <w:rPr>
          <w:b/>
          <w:sz w:val="28"/>
          <w:szCs w:val="28"/>
          <w:lang w:val="pl-PL"/>
        </w:rPr>
      </w:pPr>
      <w:r>
        <w:fldChar w:fldCharType="begin"/>
      </w:r>
      <w:r>
        <w:instrText xml:space="preserve"> HYPERLINK "https://przegladeuropejski.com.pl/resources/html/cmsi/2269" </w:instrText>
      </w:r>
      <w:r>
        <w:fldChar w:fldCharType="separate"/>
      </w:r>
      <w:r>
        <w:rPr>
          <w:rStyle w:val="12"/>
          <w:b/>
          <w:sz w:val="28"/>
          <w:szCs w:val="28"/>
          <w:lang w:val="pl-PL"/>
        </w:rPr>
        <w:t>Bibliografia</w:t>
      </w:r>
      <w:r>
        <w:rPr>
          <w:rStyle w:val="12"/>
          <w:b/>
          <w:sz w:val="28"/>
          <w:szCs w:val="28"/>
          <w:lang w:val="pl-PL"/>
        </w:rPr>
        <w:fldChar w:fldCharType="end"/>
      </w:r>
      <w:r>
        <w:rPr>
          <w:rStyle w:val="12"/>
          <w:rFonts w:hint="default"/>
          <w:b/>
          <w:sz w:val="28"/>
          <w:szCs w:val="28"/>
          <w:lang w:val="pl-PL"/>
        </w:rPr>
        <w:t>:</w:t>
      </w:r>
      <w:r>
        <w:rPr>
          <w:b/>
          <w:sz w:val="28"/>
          <w:szCs w:val="28"/>
          <w:lang w:val="pl-PL"/>
        </w:rPr>
        <w:t xml:space="preserve"> </w:t>
      </w:r>
      <w:r>
        <w:rPr>
          <w:color w:val="FF0000"/>
          <w:sz w:val="22"/>
          <w:szCs w:val="22"/>
          <w:lang w:val="pl-PL"/>
        </w:rPr>
        <w:t>(TNR 14, interlinia 1,5)</w:t>
      </w:r>
    </w:p>
    <w:p w14:paraId="3120AB8C">
      <w:pPr>
        <w:spacing w:line="276" w:lineRule="auto"/>
        <w:ind w:left="426" w:hanging="426"/>
        <w:rPr>
          <w:sz w:val="20"/>
          <w:szCs w:val="20"/>
          <w:lang w:val="pl-PL"/>
        </w:rPr>
      </w:pPr>
      <w:r>
        <w:rPr>
          <w:color w:val="FF0000"/>
          <w:sz w:val="22"/>
          <w:szCs w:val="22"/>
          <w:lang w:val="pl-PL"/>
        </w:rPr>
        <w:t>(TNR 1</w:t>
      </w:r>
      <w:r>
        <w:rPr>
          <w:rFonts w:hint="default"/>
          <w:color w:val="FF0000"/>
          <w:sz w:val="22"/>
          <w:szCs w:val="22"/>
          <w:lang w:val="pl-PL"/>
        </w:rPr>
        <w:t>0</w:t>
      </w:r>
      <w:r>
        <w:rPr>
          <w:color w:val="FF0000"/>
          <w:sz w:val="22"/>
          <w:szCs w:val="22"/>
          <w:lang w:val="pl-PL"/>
        </w:rPr>
        <w:t xml:space="preserve">, interlinia 1,15) </w:t>
      </w:r>
      <w:r>
        <w:rPr>
          <w:sz w:val="20"/>
          <w:szCs w:val="20"/>
          <w:lang w:val="pl-PL"/>
        </w:rPr>
        <w:t xml:space="preserve">ADAMIEC Danuta (2012), </w:t>
      </w:r>
      <w:r>
        <w:rPr>
          <w:i/>
          <w:sz w:val="20"/>
          <w:szCs w:val="20"/>
          <w:lang w:val="pl-PL"/>
        </w:rPr>
        <w:t>Pierwszy wypadek zastosowania mechanizmu żółtej kartki – opinie parlamentów dotyczące rozporządzenia Monti II</w:t>
      </w:r>
      <w:r>
        <w:rPr>
          <w:sz w:val="20"/>
          <w:szCs w:val="20"/>
          <w:lang w:val="pl-PL"/>
        </w:rPr>
        <w:t>, „Zeszyty Prawnicze Biura Analiz Sejmowych”, nr 3.</w:t>
      </w:r>
    </w:p>
    <w:p w14:paraId="4D61F3B3">
      <w:pPr>
        <w:spacing w:line="276" w:lineRule="auto"/>
        <w:ind w:left="426" w:hanging="426"/>
        <w:rPr>
          <w:sz w:val="20"/>
          <w:szCs w:val="20"/>
          <w:lang w:val="pl-PL"/>
        </w:rPr>
      </w:pPr>
      <w:r>
        <w:rPr>
          <w:sz w:val="20"/>
          <w:szCs w:val="20"/>
          <w:lang w:val="pl-PL"/>
        </w:rPr>
        <w:t xml:space="preserve">GRZELAK Agnieszka, ŁACNY Justyna (2011), </w:t>
      </w:r>
      <w:r>
        <w:rPr>
          <w:i/>
          <w:sz w:val="20"/>
          <w:szCs w:val="20"/>
          <w:lang w:val="pl-PL"/>
        </w:rPr>
        <w:t>Kontrola przestrzegania unijnej zasady pomocniczości przez parlamenty narodowe – pierwsze doświadczenia</w:t>
      </w:r>
      <w:r>
        <w:rPr>
          <w:sz w:val="20"/>
          <w:szCs w:val="20"/>
          <w:lang w:val="pl-PL"/>
        </w:rPr>
        <w:t>, „Zeszyty Prawnicze Biura Analiz Sejmowych”, nr 4.</w:t>
      </w:r>
    </w:p>
    <w:p w14:paraId="41CEEBB3">
      <w:pPr>
        <w:spacing w:line="276" w:lineRule="auto"/>
        <w:ind w:left="426" w:hanging="426"/>
        <w:rPr>
          <w:sz w:val="20"/>
          <w:szCs w:val="20"/>
          <w:lang w:val="en-GB"/>
        </w:rPr>
      </w:pPr>
      <w:r>
        <w:rPr>
          <w:sz w:val="20"/>
          <w:szCs w:val="20"/>
          <w:lang w:val="en-GB"/>
        </w:rPr>
        <w:t xml:space="preserve">KIIVER Philipp (2012a), </w:t>
      </w:r>
      <w:r>
        <w:rPr>
          <w:i/>
          <w:sz w:val="20"/>
          <w:szCs w:val="20"/>
          <w:lang w:val="en-GB"/>
        </w:rPr>
        <w:t>The Early Warning System for the Principle of Subsidiarity: Constitutional Theory and Empirical Reality</w:t>
      </w:r>
      <w:r>
        <w:rPr>
          <w:sz w:val="20"/>
          <w:szCs w:val="20"/>
          <w:lang w:val="en-GB"/>
        </w:rPr>
        <w:t>, Abington.</w:t>
      </w:r>
    </w:p>
    <w:p w14:paraId="3A350B6B">
      <w:pPr>
        <w:spacing w:line="276" w:lineRule="auto"/>
        <w:ind w:left="426" w:hanging="426"/>
        <w:rPr>
          <w:sz w:val="20"/>
          <w:szCs w:val="20"/>
          <w:lang w:val="en-GB"/>
        </w:rPr>
      </w:pPr>
      <w:r>
        <w:rPr>
          <w:sz w:val="20"/>
          <w:szCs w:val="20"/>
          <w:lang w:val="en-GB"/>
        </w:rPr>
        <w:t xml:space="preserve">KIIVER Philipp (2012b), </w:t>
      </w:r>
      <w:r>
        <w:rPr>
          <w:i/>
          <w:sz w:val="20"/>
          <w:szCs w:val="20"/>
          <w:lang w:val="en-GB"/>
        </w:rPr>
        <w:t>The conduct of subsidiarity checks of EU legislative proposals by national parliaments: analysis, observation and practical recommendation</w:t>
      </w:r>
      <w:r>
        <w:rPr>
          <w:sz w:val="20"/>
          <w:szCs w:val="20"/>
          <w:lang w:val="en-GB"/>
        </w:rPr>
        <w:t>, „ERA-Forum”, vol. 12, no. 4.</w:t>
      </w:r>
    </w:p>
    <w:p w14:paraId="2003D619">
      <w:pPr>
        <w:spacing w:line="276" w:lineRule="auto"/>
        <w:ind w:left="426" w:hanging="426"/>
        <w:rPr>
          <w:sz w:val="20"/>
          <w:szCs w:val="20"/>
          <w:lang w:val="en-US"/>
        </w:rPr>
      </w:pPr>
      <w:r>
        <w:rPr>
          <w:sz w:val="20"/>
          <w:szCs w:val="20"/>
          <w:lang w:val="en-US"/>
        </w:rPr>
        <w:t xml:space="preserve">PIROZZI Nicoletta, SARTORI Nicoló, VENTURI Bernardo (2017), </w:t>
      </w:r>
      <w:r>
        <w:rPr>
          <w:i/>
          <w:sz w:val="20"/>
          <w:szCs w:val="20"/>
          <w:lang w:val="en-US"/>
        </w:rPr>
        <w:t>Study “The Joint Africa-EU Strategy”</w:t>
      </w:r>
      <w:r>
        <w:rPr>
          <w:sz w:val="20"/>
          <w:szCs w:val="20"/>
          <w:lang w:val="en-US"/>
        </w:rPr>
        <w:t>, European Parliament, Directorate-General For External Policies, Brussels, https://www.europarl.europa.eu/RegData/etudes/STUD/2017/603849/EXPO_STU(2017)603849_EN.pdf (15.11.2017).</w:t>
      </w:r>
    </w:p>
    <w:p w14:paraId="4E3948D6">
      <w:pPr>
        <w:spacing w:line="276" w:lineRule="auto"/>
        <w:ind w:left="426" w:hanging="426"/>
        <w:rPr>
          <w:sz w:val="20"/>
          <w:szCs w:val="20"/>
          <w:lang w:val="pl-PL"/>
        </w:rPr>
      </w:pPr>
      <w:r>
        <w:rPr>
          <w:sz w:val="20"/>
          <w:szCs w:val="20"/>
          <w:lang w:val="pl-PL"/>
        </w:rPr>
        <w:t xml:space="preserve">PUDŁO Anna (2013), </w:t>
      </w:r>
      <w:r>
        <w:rPr>
          <w:i/>
          <w:sz w:val="20"/>
          <w:szCs w:val="20"/>
          <w:lang w:val="pl-PL"/>
        </w:rPr>
        <w:t>Przestrzeganie zasady pomocniczości w polskim parlamencie</w:t>
      </w:r>
      <w:r>
        <w:rPr>
          <w:sz w:val="20"/>
          <w:szCs w:val="20"/>
          <w:lang w:val="pl-PL"/>
        </w:rPr>
        <w:t>, „Roczniki Administracji i Prawa: Teoria i Praktyka”, rok 13.</w:t>
      </w:r>
    </w:p>
    <w:p w14:paraId="06AC05B9">
      <w:pPr>
        <w:spacing w:line="276" w:lineRule="auto"/>
        <w:ind w:left="426" w:hanging="426"/>
        <w:rPr>
          <w:sz w:val="20"/>
          <w:szCs w:val="20"/>
          <w:lang w:val="pl-PL"/>
        </w:rPr>
      </w:pPr>
      <w:r>
        <w:rPr>
          <w:sz w:val="20"/>
          <w:szCs w:val="20"/>
          <w:lang w:val="pl-PL"/>
        </w:rPr>
        <w:t xml:space="preserve">PUDŁO Anna (2014), </w:t>
      </w:r>
      <w:r>
        <w:rPr>
          <w:i/>
          <w:sz w:val="20"/>
          <w:szCs w:val="20"/>
          <w:lang w:val="pl-PL"/>
        </w:rPr>
        <w:t>Rola parlamentu narodowego w sprawach UE po wejściu w życie Traktatu z Lizbony</w:t>
      </w:r>
      <w:r>
        <w:rPr>
          <w:sz w:val="20"/>
          <w:szCs w:val="20"/>
          <w:lang w:val="pl-PL"/>
        </w:rPr>
        <w:t>, Warszawa.</w:t>
      </w:r>
    </w:p>
    <w:p w14:paraId="106444BB">
      <w:pPr>
        <w:spacing w:line="276" w:lineRule="auto"/>
        <w:ind w:left="426" w:hanging="426"/>
        <w:rPr>
          <w:sz w:val="20"/>
          <w:szCs w:val="20"/>
          <w:lang w:val="pl-PL"/>
        </w:rPr>
      </w:pPr>
      <w:r>
        <w:rPr>
          <w:sz w:val="20"/>
          <w:szCs w:val="20"/>
          <w:lang w:val="pl-PL"/>
        </w:rPr>
        <w:t xml:space="preserve">PUDŁO Anna (2015), </w:t>
      </w:r>
      <w:r>
        <w:rPr>
          <w:i/>
          <w:sz w:val="20"/>
          <w:szCs w:val="20"/>
          <w:lang w:val="pl-PL"/>
        </w:rPr>
        <w:t>Funkcja europejska parlamentów państw członkowskich Unii Europejskiej</w:t>
      </w:r>
      <w:r>
        <w:rPr>
          <w:sz w:val="20"/>
          <w:szCs w:val="20"/>
          <w:lang w:val="pl-PL"/>
        </w:rPr>
        <w:t>, „Przegląd Sejmowy”, nr 1(126).</w:t>
      </w:r>
    </w:p>
    <w:p w14:paraId="71AD6816">
      <w:pPr>
        <w:spacing w:line="276" w:lineRule="auto"/>
        <w:ind w:left="426" w:hanging="426"/>
        <w:rPr>
          <w:lang w:val="pl-PL"/>
        </w:rPr>
      </w:pPr>
    </w:p>
    <w:p w14:paraId="247F1000">
      <w:pPr>
        <w:spacing w:line="276" w:lineRule="auto"/>
        <w:ind w:left="426" w:hanging="426"/>
        <w:rPr>
          <w:color w:val="FF0000"/>
          <w:lang w:val="pl-PL"/>
        </w:rPr>
      </w:pPr>
      <w:r>
        <w:rPr>
          <w:color w:val="FF0000"/>
          <w:lang w:val="pl-PL"/>
        </w:rPr>
        <w:t>Do wszystkich pozycji bibliografii powinny być odwołania w tekście artykułu! Pozycje, do których nie ma odwołań w tekście, zostaną automatycznie usunięte z bibliografii.</w:t>
      </w:r>
    </w:p>
    <w:sectPr>
      <w:footerReference r:id="rId5" w:type="default"/>
      <w:footerReference r:id="rId6" w:type="even"/>
      <w:pgSz w:w="11900" w:h="16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EE"/>
    <w:family w:val="swiss"/>
    <w:pitch w:val="default"/>
    <w:sig w:usb0="00000000" w:usb1="00000000" w:usb2="00000009" w:usb3="00000000" w:csb0="000001FF" w:csb1="00000000"/>
  </w:font>
  <w:font w:name="Calibri">
    <w:panose1 w:val="020F0502020204030204"/>
    <w:charset w:val="EE"/>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98B5">
    <w:pPr>
      <w:pStyle w:val="9"/>
      <w:framePr w:wrap="auto"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14BF0D5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34D8">
    <w:pPr>
      <w:pStyle w:val="9"/>
      <w:framePr w:wrap="auto"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58FB26B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attachedTemplate r:id="rId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0D"/>
    <w:rsid w:val="0000743C"/>
    <w:rsid w:val="00017ACF"/>
    <w:rsid w:val="00026738"/>
    <w:rsid w:val="0004164F"/>
    <w:rsid w:val="00064C18"/>
    <w:rsid w:val="000926D8"/>
    <w:rsid w:val="000D438F"/>
    <w:rsid w:val="000F5666"/>
    <w:rsid w:val="0011012D"/>
    <w:rsid w:val="00117C42"/>
    <w:rsid w:val="00120ADB"/>
    <w:rsid w:val="00131210"/>
    <w:rsid w:val="001323D4"/>
    <w:rsid w:val="00151308"/>
    <w:rsid w:val="00154CD0"/>
    <w:rsid w:val="00187225"/>
    <w:rsid w:val="00194BF3"/>
    <w:rsid w:val="0019732C"/>
    <w:rsid w:val="001A0260"/>
    <w:rsid w:val="001A034F"/>
    <w:rsid w:val="001A5B63"/>
    <w:rsid w:val="001C11CC"/>
    <w:rsid w:val="001D1DCF"/>
    <w:rsid w:val="001D44F8"/>
    <w:rsid w:val="001E1413"/>
    <w:rsid w:val="001E4315"/>
    <w:rsid w:val="00207202"/>
    <w:rsid w:val="002177B0"/>
    <w:rsid w:val="00226897"/>
    <w:rsid w:val="0024611F"/>
    <w:rsid w:val="002627C3"/>
    <w:rsid w:val="00265B15"/>
    <w:rsid w:val="00272138"/>
    <w:rsid w:val="00284E64"/>
    <w:rsid w:val="002963A8"/>
    <w:rsid w:val="002A0983"/>
    <w:rsid w:val="002A37C3"/>
    <w:rsid w:val="002B2389"/>
    <w:rsid w:val="002F23EF"/>
    <w:rsid w:val="00305496"/>
    <w:rsid w:val="00307697"/>
    <w:rsid w:val="00307E3A"/>
    <w:rsid w:val="00310444"/>
    <w:rsid w:val="00314BB8"/>
    <w:rsid w:val="00323BAD"/>
    <w:rsid w:val="00324D09"/>
    <w:rsid w:val="003256D2"/>
    <w:rsid w:val="00327581"/>
    <w:rsid w:val="00333791"/>
    <w:rsid w:val="00343DE8"/>
    <w:rsid w:val="0034551A"/>
    <w:rsid w:val="00353694"/>
    <w:rsid w:val="0036086A"/>
    <w:rsid w:val="003738B4"/>
    <w:rsid w:val="003906BA"/>
    <w:rsid w:val="003A0998"/>
    <w:rsid w:val="003C735C"/>
    <w:rsid w:val="004012F1"/>
    <w:rsid w:val="00404249"/>
    <w:rsid w:val="0040497E"/>
    <w:rsid w:val="00424C00"/>
    <w:rsid w:val="004442A7"/>
    <w:rsid w:val="00450502"/>
    <w:rsid w:val="0046158F"/>
    <w:rsid w:val="00470C07"/>
    <w:rsid w:val="004A3435"/>
    <w:rsid w:val="004C03BF"/>
    <w:rsid w:val="004C59CC"/>
    <w:rsid w:val="004D2A2B"/>
    <w:rsid w:val="005144C9"/>
    <w:rsid w:val="00516D67"/>
    <w:rsid w:val="005228BD"/>
    <w:rsid w:val="00532EA1"/>
    <w:rsid w:val="00570A5F"/>
    <w:rsid w:val="005811A3"/>
    <w:rsid w:val="00591A5B"/>
    <w:rsid w:val="00592AED"/>
    <w:rsid w:val="00594BB1"/>
    <w:rsid w:val="005B46BD"/>
    <w:rsid w:val="005E659D"/>
    <w:rsid w:val="006058B6"/>
    <w:rsid w:val="0061177A"/>
    <w:rsid w:val="00652BE7"/>
    <w:rsid w:val="0067660D"/>
    <w:rsid w:val="006825BA"/>
    <w:rsid w:val="00684B10"/>
    <w:rsid w:val="006A4736"/>
    <w:rsid w:val="006A5720"/>
    <w:rsid w:val="006B62C4"/>
    <w:rsid w:val="006B7313"/>
    <w:rsid w:val="006C3CE1"/>
    <w:rsid w:val="006F4D21"/>
    <w:rsid w:val="0070145D"/>
    <w:rsid w:val="00715037"/>
    <w:rsid w:val="0072159E"/>
    <w:rsid w:val="00727A2E"/>
    <w:rsid w:val="00737FD8"/>
    <w:rsid w:val="007523E3"/>
    <w:rsid w:val="00755F89"/>
    <w:rsid w:val="007600AB"/>
    <w:rsid w:val="007742E4"/>
    <w:rsid w:val="00783988"/>
    <w:rsid w:val="00793FFA"/>
    <w:rsid w:val="007A2559"/>
    <w:rsid w:val="007C1631"/>
    <w:rsid w:val="007D1FC6"/>
    <w:rsid w:val="007E753C"/>
    <w:rsid w:val="007F4388"/>
    <w:rsid w:val="00804269"/>
    <w:rsid w:val="00820B70"/>
    <w:rsid w:val="00822AC0"/>
    <w:rsid w:val="00822BF6"/>
    <w:rsid w:val="008253EB"/>
    <w:rsid w:val="00830121"/>
    <w:rsid w:val="00837E04"/>
    <w:rsid w:val="00840846"/>
    <w:rsid w:val="00851838"/>
    <w:rsid w:val="00852A05"/>
    <w:rsid w:val="00874F3F"/>
    <w:rsid w:val="0089587E"/>
    <w:rsid w:val="008A0080"/>
    <w:rsid w:val="008A35B2"/>
    <w:rsid w:val="008B3A0A"/>
    <w:rsid w:val="008B447B"/>
    <w:rsid w:val="008C7DFF"/>
    <w:rsid w:val="008D1E68"/>
    <w:rsid w:val="008E154A"/>
    <w:rsid w:val="008F755B"/>
    <w:rsid w:val="00900C0F"/>
    <w:rsid w:val="00902609"/>
    <w:rsid w:val="0091382E"/>
    <w:rsid w:val="00915145"/>
    <w:rsid w:val="009240A0"/>
    <w:rsid w:val="00937B55"/>
    <w:rsid w:val="00962815"/>
    <w:rsid w:val="00972A80"/>
    <w:rsid w:val="0097430A"/>
    <w:rsid w:val="0097676B"/>
    <w:rsid w:val="00995984"/>
    <w:rsid w:val="00997D72"/>
    <w:rsid w:val="009A08CE"/>
    <w:rsid w:val="009C6EF3"/>
    <w:rsid w:val="009C74DD"/>
    <w:rsid w:val="009D32A5"/>
    <w:rsid w:val="009E66D6"/>
    <w:rsid w:val="009F1DF4"/>
    <w:rsid w:val="00A07C11"/>
    <w:rsid w:val="00A11C82"/>
    <w:rsid w:val="00A140E8"/>
    <w:rsid w:val="00A26176"/>
    <w:rsid w:val="00A2763B"/>
    <w:rsid w:val="00A457DB"/>
    <w:rsid w:val="00A601A4"/>
    <w:rsid w:val="00A74B89"/>
    <w:rsid w:val="00A77CB9"/>
    <w:rsid w:val="00A917F8"/>
    <w:rsid w:val="00AA2B4A"/>
    <w:rsid w:val="00AA5968"/>
    <w:rsid w:val="00AA703F"/>
    <w:rsid w:val="00AB3EB2"/>
    <w:rsid w:val="00AB42B2"/>
    <w:rsid w:val="00AD04D7"/>
    <w:rsid w:val="00B03690"/>
    <w:rsid w:val="00B310D2"/>
    <w:rsid w:val="00B35FEE"/>
    <w:rsid w:val="00B37075"/>
    <w:rsid w:val="00B436BA"/>
    <w:rsid w:val="00B53267"/>
    <w:rsid w:val="00B615F9"/>
    <w:rsid w:val="00B631B4"/>
    <w:rsid w:val="00B773C5"/>
    <w:rsid w:val="00B82D61"/>
    <w:rsid w:val="00B94380"/>
    <w:rsid w:val="00BB0D5C"/>
    <w:rsid w:val="00BD04F6"/>
    <w:rsid w:val="00BD4829"/>
    <w:rsid w:val="00BD7CEE"/>
    <w:rsid w:val="00C0408A"/>
    <w:rsid w:val="00C120BE"/>
    <w:rsid w:val="00C4191E"/>
    <w:rsid w:val="00C421ED"/>
    <w:rsid w:val="00C61144"/>
    <w:rsid w:val="00C67E83"/>
    <w:rsid w:val="00C70ECD"/>
    <w:rsid w:val="00C73E7A"/>
    <w:rsid w:val="00CA7E40"/>
    <w:rsid w:val="00CD44FA"/>
    <w:rsid w:val="00CD5D34"/>
    <w:rsid w:val="00CE7682"/>
    <w:rsid w:val="00CF5D8F"/>
    <w:rsid w:val="00CF78B3"/>
    <w:rsid w:val="00D270C8"/>
    <w:rsid w:val="00D44EE7"/>
    <w:rsid w:val="00D62DEA"/>
    <w:rsid w:val="00D65CFB"/>
    <w:rsid w:val="00D65E63"/>
    <w:rsid w:val="00D76174"/>
    <w:rsid w:val="00DB1686"/>
    <w:rsid w:val="00DB3522"/>
    <w:rsid w:val="00DB4086"/>
    <w:rsid w:val="00DB5C1B"/>
    <w:rsid w:val="00DC632C"/>
    <w:rsid w:val="00DC75DD"/>
    <w:rsid w:val="00DE371D"/>
    <w:rsid w:val="00E118E2"/>
    <w:rsid w:val="00E151E2"/>
    <w:rsid w:val="00E23DD9"/>
    <w:rsid w:val="00E3775D"/>
    <w:rsid w:val="00E46C37"/>
    <w:rsid w:val="00E51316"/>
    <w:rsid w:val="00E65DE8"/>
    <w:rsid w:val="00E7099F"/>
    <w:rsid w:val="00EA43EF"/>
    <w:rsid w:val="00EA7190"/>
    <w:rsid w:val="00EB368E"/>
    <w:rsid w:val="00EC7010"/>
    <w:rsid w:val="00ED5E55"/>
    <w:rsid w:val="00ED638A"/>
    <w:rsid w:val="00EF45EF"/>
    <w:rsid w:val="00F23CAE"/>
    <w:rsid w:val="00F26E27"/>
    <w:rsid w:val="00F403B3"/>
    <w:rsid w:val="00F44C95"/>
    <w:rsid w:val="00F51872"/>
    <w:rsid w:val="00F71EC5"/>
    <w:rsid w:val="00F86834"/>
    <w:rsid w:val="00FD1466"/>
    <w:rsid w:val="00FD6847"/>
    <w:rsid w:val="00FF0A4A"/>
    <w:rsid w:val="02BB280A"/>
    <w:rsid w:val="040C0EB2"/>
    <w:rsid w:val="2D832446"/>
    <w:rsid w:val="422661F3"/>
    <w:rsid w:val="48CF788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Helvetica" w:hAnsi="Helvetica"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709"/>
      <w:jc w:val="both"/>
    </w:pPr>
    <w:rPr>
      <w:rFonts w:ascii="Times New Roman" w:hAnsi="Times New Roman" w:eastAsia="Calibri" w:cs="Times New Roman"/>
      <w:sz w:val="24"/>
      <w:szCs w:val="24"/>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rFonts w:ascii="Segoe UI" w:hAnsi="Segoe UI" w:cs="Segoe UI"/>
      <w:sz w:val="18"/>
      <w:szCs w:val="18"/>
    </w:rPr>
  </w:style>
  <w:style w:type="character" w:styleId="5">
    <w:name w:val="annotation reference"/>
    <w:semiHidden/>
    <w:unhideWhenUsed/>
    <w:uiPriority w:val="99"/>
    <w:rPr>
      <w:sz w:val="16"/>
      <w:szCs w:val="16"/>
    </w:rPr>
  </w:style>
  <w:style w:type="paragraph" w:styleId="6">
    <w:name w:val="annotation text"/>
    <w:basedOn w:val="1"/>
    <w:link w:val="17"/>
    <w:semiHidden/>
    <w:unhideWhenUsed/>
    <w:uiPriority w:val="99"/>
    <w:rPr>
      <w:sz w:val="20"/>
      <w:szCs w:val="20"/>
    </w:rPr>
  </w:style>
  <w:style w:type="paragraph" w:styleId="7">
    <w:name w:val="annotation subject"/>
    <w:basedOn w:val="6"/>
    <w:next w:val="6"/>
    <w:link w:val="18"/>
    <w:semiHidden/>
    <w:unhideWhenUsed/>
    <w:uiPriority w:val="99"/>
    <w:rPr>
      <w:b/>
      <w:bCs/>
    </w:rPr>
  </w:style>
  <w:style w:type="character" w:styleId="8">
    <w:name w:val="FollowedHyperlink"/>
    <w:semiHidden/>
    <w:unhideWhenUsed/>
    <w:uiPriority w:val="99"/>
    <w:rPr>
      <w:color w:val="954F72"/>
      <w:u w:val="single"/>
    </w:rPr>
  </w:style>
  <w:style w:type="paragraph" w:styleId="9">
    <w:name w:val="footer"/>
    <w:basedOn w:val="1"/>
    <w:link w:val="16"/>
    <w:unhideWhenUsed/>
    <w:qFormat/>
    <w:uiPriority w:val="99"/>
    <w:pPr>
      <w:tabs>
        <w:tab w:val="center" w:pos="4677"/>
        <w:tab w:val="right" w:pos="9355"/>
      </w:tabs>
    </w:pPr>
  </w:style>
  <w:style w:type="character" w:styleId="10">
    <w:name w:val="footnote reference"/>
    <w:unhideWhenUsed/>
    <w:qFormat/>
    <w:uiPriority w:val="99"/>
    <w:rPr>
      <w:vertAlign w:val="superscript"/>
    </w:rPr>
  </w:style>
  <w:style w:type="paragraph" w:styleId="11">
    <w:name w:val="footnote text"/>
    <w:basedOn w:val="1"/>
    <w:link w:val="15"/>
    <w:unhideWhenUsed/>
    <w:uiPriority w:val="99"/>
  </w:style>
  <w:style w:type="character" w:styleId="12">
    <w:name w:val="Hyperlink"/>
    <w:unhideWhenUsed/>
    <w:uiPriority w:val="99"/>
    <w:rPr>
      <w:color w:val="0000FF"/>
      <w:u w:val="single"/>
    </w:rPr>
  </w:style>
  <w:style w:type="paragraph" w:styleId="13">
    <w:name w:val="Normal (Web)"/>
    <w:basedOn w:val="1"/>
    <w:semiHidden/>
    <w:unhideWhenUsed/>
    <w:uiPriority w:val="99"/>
    <w:pPr>
      <w:spacing w:before="100" w:beforeAutospacing="1" w:after="100" w:afterAutospacing="1" w:line="240" w:lineRule="auto"/>
      <w:ind w:firstLine="0"/>
      <w:jc w:val="left"/>
    </w:pPr>
    <w:rPr>
      <w:rFonts w:eastAsia="Times New Roman"/>
      <w:lang w:val="da-DK" w:eastAsia="da-DK"/>
    </w:rPr>
  </w:style>
  <w:style w:type="character" w:styleId="14">
    <w:name w:val="page number"/>
    <w:basedOn w:val="2"/>
    <w:semiHidden/>
    <w:unhideWhenUsed/>
    <w:uiPriority w:val="99"/>
  </w:style>
  <w:style w:type="character" w:customStyle="1" w:styleId="15">
    <w:name w:val="Tekst przypisu dolnego Znak"/>
    <w:basedOn w:val="2"/>
    <w:link w:val="11"/>
    <w:uiPriority w:val="99"/>
  </w:style>
  <w:style w:type="character" w:customStyle="1" w:styleId="16">
    <w:name w:val="Stopka Znak"/>
    <w:basedOn w:val="2"/>
    <w:link w:val="9"/>
    <w:uiPriority w:val="99"/>
  </w:style>
  <w:style w:type="character" w:customStyle="1" w:styleId="17">
    <w:name w:val="Tekst komentarza Znak"/>
    <w:link w:val="6"/>
    <w:semiHidden/>
    <w:uiPriority w:val="99"/>
    <w:rPr>
      <w:sz w:val="20"/>
      <w:szCs w:val="20"/>
    </w:rPr>
  </w:style>
  <w:style w:type="character" w:customStyle="1" w:styleId="18">
    <w:name w:val="Temat komentarza Znak"/>
    <w:link w:val="7"/>
    <w:semiHidden/>
    <w:qFormat/>
    <w:uiPriority w:val="99"/>
    <w:rPr>
      <w:b/>
      <w:bCs/>
      <w:sz w:val="20"/>
      <w:szCs w:val="20"/>
    </w:rPr>
  </w:style>
  <w:style w:type="character" w:customStyle="1" w:styleId="19">
    <w:name w:val="Tekst dymka Znak"/>
    <w:link w:val="4"/>
    <w:semiHidden/>
    <w:uiPriority w:val="99"/>
    <w:rPr>
      <w:rFonts w:ascii="Segoe UI" w:hAnsi="Segoe UI" w:cs="Segoe UI"/>
      <w:sz w:val="18"/>
      <w:szCs w:val="18"/>
    </w:rPr>
  </w:style>
  <w:style w:type="paragraph" w:customStyle="1" w:styleId="20">
    <w:name w:val="Normalny1"/>
    <w:uiPriority w:val="0"/>
    <w:pPr>
      <w:spacing w:line="360" w:lineRule="auto"/>
      <w:ind w:firstLine="709"/>
      <w:jc w:val="both"/>
    </w:pPr>
    <w:rPr>
      <w:rFonts w:ascii="Times New Roman" w:hAnsi="Times New Roman" w:eastAsia="Times New Roman" w:cs="Times New Roman"/>
      <w:sz w:val="24"/>
      <w:szCs w:val="24"/>
      <w:lang w:val="pl-PL" w:eastAsia="pl-PL" w:bidi="ar-SA"/>
    </w:rPr>
  </w:style>
  <w:style w:type="character" w:customStyle="1" w:styleId="21">
    <w:name w:val="tlid-translation"/>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Publikacje\Czasopisma\Przegl&#261;d%20Europejski\Redakcja\2025\Szablon%20artykulu_Przeglad%20Europej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149DED-5CDD-45C5-83AF-2AD7648F8C8E}">
  <ds:schemaRefs/>
</ds:datastoreItem>
</file>

<file path=docProps/app.xml><?xml version="1.0" encoding="utf-8"?>
<Properties xmlns="http://schemas.openxmlformats.org/officeDocument/2006/extended-properties" xmlns:vt="http://schemas.openxmlformats.org/officeDocument/2006/docPropsVTypes">
  <Template>Szablon artykulu_Przeglad Europejski</Template>
  <Company>HP</Company>
  <Pages>2</Pages>
  <Words>728</Words>
  <Characters>4032</Characters>
  <Lines>84</Lines>
  <Paragraphs>51</Paragraphs>
  <TotalTime>3</TotalTime>
  <ScaleCrop>false</ScaleCrop>
  <LinksUpToDate>false</LinksUpToDate>
  <CharactersWithSpaces>4709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2024-10-06T12:08:00Z</dcterms:created>
  <dc:creator>HP</dc:creator>
  <cp:lastModifiedBy>Przegląd Europejski - Europea</cp:lastModifiedBy>
  <dcterms:modified xsi:type="dcterms:W3CDTF">2025-06-23T11:33:49Z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D2D4E4B2E4D84793947CA74B8E7A7C3F_13</vt:lpwstr>
  </property>
</Properties>
</file>