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897" w:rsidRDefault="007561E4">
      <w:pPr>
        <w:widowControl w:val="0"/>
        <w:spacing w:line="240" w:lineRule="auto"/>
        <w:jc w:val="right"/>
        <w:rPr>
          <w:rFonts w:eastAsia="Times New Roman"/>
          <w:b/>
          <w:sz w:val="22"/>
          <w:szCs w:val="22"/>
          <w:lang w:val="en-GB" w:eastAsia="pl-PL"/>
        </w:rPr>
      </w:pPr>
      <w:r>
        <w:rPr>
          <w:rFonts w:eastAsia="Times New Roman"/>
          <w:b/>
          <w:i/>
          <w:sz w:val="22"/>
          <w:szCs w:val="22"/>
          <w:lang w:val="en-GB" w:eastAsia="pl-PL"/>
        </w:rPr>
        <w:t>Przegląd Europejski – European Studies Quarterly,</w:t>
      </w:r>
      <w:r>
        <w:rPr>
          <w:rFonts w:eastAsia="Times New Roman"/>
          <w:b/>
          <w:sz w:val="22"/>
          <w:szCs w:val="22"/>
          <w:lang w:val="en-GB" w:eastAsia="pl-PL"/>
        </w:rPr>
        <w:t xml:space="preserve"> ISSN: 1641-2478</w:t>
      </w:r>
    </w:p>
    <w:p w:rsidR="00382897" w:rsidRDefault="007561E4">
      <w:pPr>
        <w:widowControl w:val="0"/>
        <w:wordWrap w:val="0"/>
        <w:spacing w:line="240" w:lineRule="auto"/>
        <w:jc w:val="right"/>
        <w:rPr>
          <w:rFonts w:eastAsia="Times New Roman"/>
          <w:b/>
          <w:sz w:val="22"/>
          <w:szCs w:val="22"/>
          <w:lang w:val="en-US" w:eastAsia="pl-PL"/>
        </w:rPr>
      </w:pPr>
      <w:r>
        <w:rPr>
          <w:rFonts w:eastAsia="Times New Roman"/>
          <w:b/>
          <w:sz w:val="22"/>
          <w:szCs w:val="22"/>
          <w:lang w:val="en-GB" w:eastAsia="pl-PL"/>
        </w:rPr>
        <w:t xml:space="preserve">vol. </w:t>
      </w:r>
      <w:r>
        <w:rPr>
          <w:rFonts w:eastAsia="Times New Roman"/>
          <w:b/>
          <w:sz w:val="22"/>
          <w:szCs w:val="22"/>
          <w:lang w:val="en-US" w:eastAsia="pl-PL"/>
        </w:rPr>
        <w:t>...</w:t>
      </w:r>
      <w:r>
        <w:rPr>
          <w:rFonts w:eastAsia="Times New Roman"/>
          <w:b/>
          <w:sz w:val="22"/>
          <w:szCs w:val="22"/>
          <w:lang w:val="en-GB" w:eastAsia="pl-PL"/>
        </w:rPr>
        <w:t>, no.</w:t>
      </w:r>
      <w:r>
        <w:rPr>
          <w:rFonts w:eastAsia="Times New Roman"/>
          <w:b/>
          <w:sz w:val="22"/>
          <w:szCs w:val="22"/>
          <w:lang w:val="en-US" w:eastAsia="pl-PL"/>
        </w:rPr>
        <w:t xml:space="preserve"> ...</w:t>
      </w:r>
      <w:r>
        <w:rPr>
          <w:rFonts w:eastAsia="Times New Roman"/>
          <w:bCs/>
          <w:color w:val="0000FF"/>
          <w:sz w:val="22"/>
          <w:szCs w:val="22"/>
          <w:lang w:val="en-US" w:eastAsia="pl-PL"/>
        </w:rPr>
        <w:t>(filled in by editors)</w:t>
      </w:r>
    </w:p>
    <w:p w:rsidR="00382897" w:rsidRDefault="007561E4">
      <w:pPr>
        <w:widowControl w:val="0"/>
        <w:spacing w:line="240" w:lineRule="auto"/>
        <w:jc w:val="right"/>
        <w:rPr>
          <w:rFonts w:eastAsia="Times New Roman"/>
          <w:sz w:val="22"/>
          <w:szCs w:val="22"/>
          <w:lang w:val="en-GB"/>
        </w:rPr>
      </w:pPr>
      <w:r>
        <w:rPr>
          <w:rFonts w:eastAsia="Times New Roman"/>
          <w:sz w:val="22"/>
          <w:szCs w:val="22"/>
          <w:lang w:val="en-GB"/>
        </w:rPr>
        <w:t xml:space="preserve">Copyright </w:t>
      </w:r>
      <w:r>
        <w:rPr>
          <w:sz w:val="22"/>
          <w:szCs w:val="22"/>
          <w:lang w:val="en-GB"/>
        </w:rPr>
        <w:t>©</w:t>
      </w:r>
      <w:r>
        <w:rPr>
          <w:rFonts w:eastAsia="Times New Roman"/>
          <w:sz w:val="22"/>
          <w:szCs w:val="22"/>
          <w:lang w:val="en-GB"/>
        </w:rPr>
        <w:t xml:space="preserve"> by </w:t>
      </w:r>
      <w:r>
        <w:rPr>
          <w:rFonts w:eastAsia="Times New Roman"/>
          <w:color w:val="FF0000"/>
          <w:sz w:val="22"/>
          <w:szCs w:val="22"/>
          <w:lang w:val="en-GB"/>
        </w:rPr>
        <w:t>Name Surname</w:t>
      </w:r>
      <w:r>
        <w:rPr>
          <w:rFonts w:eastAsia="Times New Roman"/>
          <w:sz w:val="22"/>
          <w:szCs w:val="22"/>
          <w:lang w:val="en-GB"/>
        </w:rPr>
        <w:t>, 202</w:t>
      </w:r>
      <w:r w:rsidRPr="00DA173A">
        <w:rPr>
          <w:rFonts w:eastAsia="Times New Roman"/>
          <w:sz w:val="22"/>
          <w:szCs w:val="22"/>
          <w:lang w:val="en-IN"/>
        </w:rPr>
        <w:t>5</w:t>
      </w:r>
    </w:p>
    <w:p w:rsidR="00382897" w:rsidRDefault="007561E4">
      <w:pPr>
        <w:pStyle w:val="NormalnyWeb"/>
        <w:spacing w:before="0" w:beforeAutospacing="0" w:after="0" w:afterAutospacing="0"/>
        <w:ind w:firstLine="709"/>
        <w:jc w:val="right"/>
        <w:rPr>
          <w:sz w:val="22"/>
          <w:szCs w:val="22"/>
          <w:lang w:val="en-GB"/>
        </w:rPr>
      </w:pPr>
      <w:r>
        <w:rPr>
          <w:sz w:val="22"/>
          <w:szCs w:val="22"/>
          <w:lang w:val="en-GB"/>
        </w:rPr>
        <w:t>Creative Commons Attribution 4.0 (CC BY 4.0)</w:t>
      </w:r>
    </w:p>
    <w:p w:rsidR="00382897" w:rsidRDefault="007561E4">
      <w:pPr>
        <w:pStyle w:val="NormalnyWeb"/>
        <w:spacing w:before="0" w:beforeAutospacing="0" w:after="0" w:afterAutospacing="0"/>
        <w:ind w:firstLine="709"/>
        <w:jc w:val="right"/>
        <w:rPr>
          <w:sz w:val="22"/>
          <w:szCs w:val="22"/>
          <w:lang w:val="en-GB"/>
        </w:rPr>
      </w:pPr>
      <w:r>
        <w:rPr>
          <w:sz w:val="22"/>
          <w:szCs w:val="22"/>
          <w:lang w:val="en-GB"/>
        </w:rPr>
        <w:t>http://creativecommons.org/licenses/by/4.0/</w:t>
      </w:r>
    </w:p>
    <w:p w:rsidR="00382897" w:rsidRDefault="007561E4">
      <w:pPr>
        <w:pStyle w:val="Normalny1"/>
        <w:spacing w:line="240" w:lineRule="auto"/>
        <w:jc w:val="right"/>
        <w:rPr>
          <w:color w:val="000000"/>
          <w:sz w:val="22"/>
          <w:szCs w:val="22"/>
          <w:lang w:val="en-GB"/>
        </w:rPr>
      </w:pPr>
      <w:r w:rsidRPr="00DA173A">
        <w:rPr>
          <w:sz w:val="22"/>
          <w:szCs w:val="22"/>
          <w:lang w:val="en-IN"/>
        </w:rPr>
        <w:t>DOI: …</w:t>
      </w:r>
      <w:r>
        <w:rPr>
          <w:bCs/>
          <w:color w:val="0000FF"/>
          <w:sz w:val="22"/>
          <w:szCs w:val="22"/>
          <w:lang w:val="en-US"/>
        </w:rPr>
        <w:t xml:space="preserve">(filled in by </w:t>
      </w:r>
      <w:r>
        <w:rPr>
          <w:bCs/>
          <w:color w:val="0000FF"/>
          <w:sz w:val="22"/>
          <w:szCs w:val="22"/>
          <w:lang w:val="en-US"/>
        </w:rPr>
        <w:t>editors)</w:t>
      </w:r>
    </w:p>
    <w:p w:rsidR="00382897" w:rsidRDefault="00382897">
      <w:pPr>
        <w:pStyle w:val="Normalny1"/>
        <w:spacing w:before="100" w:after="100" w:line="276" w:lineRule="auto"/>
        <w:ind w:firstLine="0"/>
        <w:jc w:val="center"/>
        <w:rPr>
          <w:b/>
          <w:bCs/>
          <w:sz w:val="36"/>
          <w:szCs w:val="36"/>
          <w:lang w:val="en-GB"/>
        </w:rPr>
      </w:pPr>
    </w:p>
    <w:p w:rsidR="00382897" w:rsidRDefault="007561E4">
      <w:pPr>
        <w:pStyle w:val="Normalny1"/>
        <w:spacing w:before="100" w:after="100" w:line="276" w:lineRule="auto"/>
        <w:ind w:firstLine="0"/>
        <w:jc w:val="center"/>
        <w:rPr>
          <w:b/>
          <w:bCs/>
          <w:color w:val="000000"/>
          <w:sz w:val="36"/>
          <w:szCs w:val="36"/>
          <w:lang w:val="en-GB"/>
        </w:rPr>
      </w:pPr>
      <w:r>
        <w:rPr>
          <w:b/>
          <w:bCs/>
          <w:sz w:val="36"/>
          <w:szCs w:val="36"/>
          <w:lang w:val="en-GB"/>
        </w:rPr>
        <w:t>Title of the paper (</w:t>
      </w:r>
      <w:r>
        <w:rPr>
          <w:b/>
          <w:bCs/>
          <w:color w:val="000000"/>
          <w:sz w:val="36"/>
          <w:szCs w:val="36"/>
          <w:lang w:val="en-GB"/>
        </w:rPr>
        <w:t>TNR 18, line spacing 1,15)</w:t>
      </w:r>
    </w:p>
    <w:p w:rsidR="00382897" w:rsidRDefault="00382897">
      <w:pPr>
        <w:pStyle w:val="Normalny1"/>
        <w:spacing w:before="100" w:after="100" w:line="240" w:lineRule="auto"/>
        <w:ind w:firstLine="0"/>
        <w:jc w:val="center"/>
        <w:rPr>
          <w:b/>
          <w:bCs/>
          <w:color w:val="000000"/>
          <w:sz w:val="36"/>
          <w:szCs w:val="36"/>
          <w:lang w:val="en-GB"/>
        </w:rPr>
      </w:pPr>
    </w:p>
    <w:p w:rsidR="00382897" w:rsidRDefault="007561E4">
      <w:pPr>
        <w:spacing w:before="240" w:line="276" w:lineRule="auto"/>
        <w:ind w:firstLine="0"/>
        <w:jc w:val="center"/>
        <w:rPr>
          <w:bCs/>
          <w:i/>
          <w:iCs/>
          <w:sz w:val="28"/>
          <w:szCs w:val="28"/>
          <w:lang w:val="en-GB"/>
        </w:rPr>
      </w:pPr>
      <w:r>
        <w:rPr>
          <w:b/>
          <w:color w:val="FF0000"/>
          <w:sz w:val="28"/>
          <w:szCs w:val="28"/>
          <w:lang w:val="en-GB"/>
        </w:rPr>
        <w:t>Author’s name and surname</w:t>
      </w:r>
      <w:r w:rsidRPr="00DA173A">
        <w:rPr>
          <w:b/>
          <w:sz w:val="28"/>
          <w:szCs w:val="28"/>
          <w:lang w:val="en-IN"/>
        </w:rPr>
        <w:t xml:space="preserve"> (TNR 14, line spacing 1,15)</w:t>
      </w:r>
      <w:r>
        <w:rPr>
          <w:b/>
          <w:color w:val="FF0000"/>
          <w:sz w:val="28"/>
          <w:szCs w:val="28"/>
          <w:lang w:val="en-GB"/>
        </w:rPr>
        <w:t xml:space="preserve">, </w:t>
      </w:r>
      <w:r>
        <w:rPr>
          <w:bCs/>
          <w:i/>
          <w:iCs/>
          <w:color w:val="FF0000"/>
          <w:sz w:val="28"/>
          <w:szCs w:val="28"/>
          <w:lang w:val="en-GB"/>
        </w:rPr>
        <w:t>affiliation - just a University! (</w:t>
      </w:r>
      <w:r w:rsidR="00DA173A">
        <w:rPr>
          <w:bCs/>
          <w:i/>
          <w:iCs/>
          <w:color w:val="FF0000"/>
          <w:sz w:val="28"/>
          <w:szCs w:val="28"/>
          <w:lang w:val="en-GB"/>
        </w:rPr>
        <w:t>City, State</w:t>
      </w:r>
      <w:r>
        <w:rPr>
          <w:bCs/>
          <w:i/>
          <w:iCs/>
          <w:color w:val="FF0000"/>
          <w:sz w:val="28"/>
          <w:szCs w:val="28"/>
          <w:lang w:val="en-GB"/>
        </w:rPr>
        <w:t>)</w:t>
      </w:r>
    </w:p>
    <w:p w:rsidR="00382897" w:rsidRDefault="007561E4">
      <w:pPr>
        <w:spacing w:line="276" w:lineRule="auto"/>
        <w:ind w:firstLine="0"/>
        <w:jc w:val="center"/>
        <w:rPr>
          <w:color w:val="FF0000"/>
          <w:lang w:val="en-GB"/>
        </w:rPr>
      </w:pPr>
      <w:r>
        <w:rPr>
          <w:color w:val="FF0000"/>
          <w:lang w:val="en-GB"/>
        </w:rPr>
        <w:t>E-mail: ...@...</w:t>
      </w:r>
      <w:r w:rsidRPr="00DA173A">
        <w:rPr>
          <w:b/>
          <w:lang w:val="en-IN"/>
        </w:rPr>
        <w:t xml:space="preserve"> (TNR 12, line spacing 1,15)</w:t>
      </w:r>
    </w:p>
    <w:p w:rsidR="00382897" w:rsidRPr="00DA173A" w:rsidRDefault="007561E4">
      <w:pPr>
        <w:spacing w:line="276" w:lineRule="auto"/>
        <w:ind w:firstLine="0"/>
        <w:jc w:val="center"/>
        <w:rPr>
          <w:rFonts w:eastAsia="Times New Roman"/>
          <w:color w:val="FF0000"/>
          <w:lang w:val="en-IN" w:eastAsia="ru-RU"/>
        </w:rPr>
      </w:pPr>
      <w:r>
        <w:rPr>
          <w:rFonts w:eastAsia="Times New Roman"/>
          <w:color w:val="FF0000"/>
          <w:lang w:val="en-GB" w:eastAsia="ru-RU"/>
        </w:rPr>
        <w:t>http://orcid.org/0000-000?-</w:t>
      </w:r>
      <w:r w:rsidRPr="00DA173A">
        <w:rPr>
          <w:rFonts w:eastAsia="Times New Roman"/>
          <w:color w:val="FF0000"/>
          <w:lang w:val="en-IN" w:eastAsia="ru-RU"/>
        </w:rPr>
        <w:t>????</w:t>
      </w:r>
      <w:r>
        <w:rPr>
          <w:rFonts w:eastAsia="Times New Roman"/>
          <w:color w:val="FF0000"/>
          <w:lang w:val="en-GB" w:eastAsia="ru-RU"/>
        </w:rPr>
        <w:t>-</w:t>
      </w:r>
      <w:r w:rsidRPr="00DA173A">
        <w:rPr>
          <w:rFonts w:eastAsia="Times New Roman"/>
          <w:color w:val="FF0000"/>
          <w:lang w:val="en-IN" w:eastAsia="ru-RU"/>
        </w:rPr>
        <w:t>????</w:t>
      </w:r>
    </w:p>
    <w:p w:rsidR="00382897" w:rsidRDefault="00382897">
      <w:pPr>
        <w:spacing w:before="240"/>
        <w:ind w:firstLine="0"/>
        <w:contextualSpacing/>
        <w:rPr>
          <w:b/>
          <w:color w:val="FF0000"/>
          <w:sz w:val="20"/>
          <w:szCs w:val="20"/>
          <w:lang w:val="en-GB"/>
        </w:rPr>
      </w:pPr>
    </w:p>
    <w:p w:rsidR="00382897" w:rsidRDefault="007561E4">
      <w:pPr>
        <w:spacing w:before="240"/>
        <w:ind w:firstLine="0"/>
        <w:contextualSpacing/>
        <w:rPr>
          <w:b/>
          <w:lang w:val="en-GB"/>
        </w:rPr>
      </w:pPr>
      <w:r>
        <w:rPr>
          <w:b/>
          <w:color w:val="FF0000"/>
          <w:sz w:val="20"/>
          <w:szCs w:val="20"/>
          <w:lang w:val="en-GB"/>
        </w:rPr>
        <w:t>Abstract</w:t>
      </w:r>
      <w:r>
        <w:rPr>
          <w:b/>
          <w:sz w:val="20"/>
          <w:szCs w:val="20"/>
          <w:lang w:val="en-GB"/>
        </w:rPr>
        <w:t xml:space="preserve"> </w:t>
      </w:r>
    </w:p>
    <w:p w:rsidR="00382897" w:rsidRDefault="007561E4">
      <w:pPr>
        <w:spacing w:line="276" w:lineRule="auto"/>
        <w:ind w:firstLine="0"/>
        <w:contextualSpacing/>
        <w:rPr>
          <w:sz w:val="22"/>
          <w:szCs w:val="22"/>
          <w:lang w:val="en-US"/>
        </w:rPr>
      </w:pPr>
      <w:r>
        <w:rPr>
          <w:sz w:val="22"/>
          <w:szCs w:val="22"/>
          <w:lang w:val="en-GB"/>
        </w:rPr>
        <w:t>Summary text in English (TNR 1</w:t>
      </w:r>
      <w:r w:rsidRPr="00DA173A">
        <w:rPr>
          <w:sz w:val="22"/>
          <w:szCs w:val="22"/>
          <w:lang w:val="en-IN"/>
        </w:rPr>
        <w:t>0</w:t>
      </w:r>
      <w:r>
        <w:rPr>
          <w:sz w:val="22"/>
          <w:szCs w:val="22"/>
          <w:lang w:val="en-GB"/>
        </w:rPr>
        <w:t xml:space="preserve">, line spacing 1,15) – maximum 700 characters. </w:t>
      </w:r>
      <w:r>
        <w:rPr>
          <w:sz w:val="22"/>
          <w:szCs w:val="22"/>
          <w:lang w:val="en-US"/>
        </w:rPr>
        <w:t>it must contain information about the research problem and aims</w:t>
      </w:r>
      <w:r w:rsidRPr="00DA173A">
        <w:rPr>
          <w:sz w:val="22"/>
          <w:szCs w:val="22"/>
          <w:lang w:val="en-IN"/>
        </w:rPr>
        <w:t>,</w:t>
      </w:r>
      <w:r>
        <w:rPr>
          <w:sz w:val="22"/>
          <w:szCs w:val="22"/>
          <w:lang w:val="en-US"/>
        </w:rPr>
        <w:t xml:space="preserve"> as well as used</w:t>
      </w:r>
      <w:r w:rsidRPr="00DA173A">
        <w:rPr>
          <w:sz w:val="22"/>
          <w:szCs w:val="22"/>
          <w:lang w:val="en-IN"/>
        </w:rPr>
        <w:t xml:space="preserve"> </w:t>
      </w:r>
      <w:r>
        <w:rPr>
          <w:sz w:val="22"/>
          <w:szCs w:val="22"/>
          <w:lang w:val="en-US"/>
        </w:rPr>
        <w:t xml:space="preserve">methods and </w:t>
      </w:r>
      <w:r w:rsidRPr="00DA173A">
        <w:rPr>
          <w:sz w:val="22"/>
          <w:szCs w:val="22"/>
          <w:lang w:val="en-IN"/>
        </w:rPr>
        <w:t>brief</w:t>
      </w:r>
      <w:r>
        <w:rPr>
          <w:sz w:val="22"/>
          <w:szCs w:val="22"/>
          <w:lang w:val="en-US"/>
        </w:rPr>
        <w:t xml:space="preserve"> conclusions. Keep in mind that many readers will </w:t>
      </w:r>
      <w:r>
        <w:rPr>
          <w:sz w:val="22"/>
          <w:szCs w:val="22"/>
          <w:lang w:val="en-GB"/>
        </w:rPr>
        <w:t>only read the Abstra</w:t>
      </w:r>
      <w:r>
        <w:rPr>
          <w:sz w:val="22"/>
          <w:szCs w:val="22"/>
          <w:lang w:val="en-GB"/>
        </w:rPr>
        <w:t xml:space="preserve">ct of your manuscript. For more information please consult our </w:t>
      </w:r>
      <w:r w:rsidRPr="00DA173A">
        <w:rPr>
          <w:sz w:val="22"/>
          <w:szCs w:val="22"/>
          <w:lang w:val="en-US"/>
        </w:rPr>
        <w:t>abstract preparation guide</w:t>
      </w:r>
      <w:r w:rsidR="00DA173A">
        <w:rPr>
          <w:sz w:val="22"/>
          <w:szCs w:val="22"/>
          <w:lang w:val="en-US"/>
        </w:rPr>
        <w:t>.</w:t>
      </w:r>
    </w:p>
    <w:p w:rsidR="00382897" w:rsidRDefault="007561E4">
      <w:pPr>
        <w:spacing w:line="276" w:lineRule="auto"/>
        <w:ind w:firstLine="0"/>
        <w:contextualSpacing/>
        <w:rPr>
          <w:sz w:val="22"/>
          <w:szCs w:val="22"/>
          <w:lang w:val="en-GB"/>
        </w:rPr>
      </w:pPr>
      <w:r>
        <w:rPr>
          <w:b/>
          <w:color w:val="FF0000"/>
          <w:sz w:val="20"/>
          <w:szCs w:val="20"/>
          <w:lang w:val="en-GB"/>
        </w:rPr>
        <w:t>Keywords:</w:t>
      </w:r>
      <w:r>
        <w:rPr>
          <w:b/>
          <w:color w:val="FF0000"/>
          <w:lang w:val="en-GB"/>
        </w:rPr>
        <w:t xml:space="preserve"> </w:t>
      </w:r>
      <w:r>
        <w:rPr>
          <w:color w:val="FF0000"/>
          <w:sz w:val="22"/>
          <w:szCs w:val="22"/>
          <w:lang w:val="en-GB"/>
        </w:rPr>
        <w:t>up to 5 (TNR 1</w:t>
      </w:r>
      <w:r w:rsidRPr="00DA173A">
        <w:rPr>
          <w:color w:val="FF0000"/>
          <w:sz w:val="22"/>
          <w:szCs w:val="22"/>
          <w:lang w:val="en-IN"/>
        </w:rPr>
        <w:t>0</w:t>
      </w:r>
      <w:r>
        <w:rPr>
          <w:color w:val="FF0000"/>
          <w:sz w:val="22"/>
          <w:szCs w:val="22"/>
          <w:lang w:val="en-GB"/>
        </w:rPr>
        <w:t>, line spacing 1,15).</w:t>
      </w:r>
      <w:r>
        <w:rPr>
          <w:sz w:val="22"/>
          <w:szCs w:val="22"/>
          <w:lang w:val="en-GB"/>
        </w:rPr>
        <w:t xml:space="preserve"> They should characteri</w:t>
      </w:r>
      <w:r w:rsidRPr="00DA173A">
        <w:rPr>
          <w:sz w:val="22"/>
          <w:szCs w:val="22"/>
          <w:lang w:val="en-IN"/>
        </w:rPr>
        <w:t>s</w:t>
      </w:r>
      <w:r>
        <w:rPr>
          <w:sz w:val="22"/>
          <w:szCs w:val="22"/>
          <w:lang w:val="en-GB"/>
        </w:rPr>
        <w:t xml:space="preserve">e the content of your manuscript </w:t>
      </w:r>
      <w:r w:rsidRPr="00DA173A">
        <w:rPr>
          <w:sz w:val="22"/>
          <w:szCs w:val="22"/>
          <w:lang w:val="en-IN"/>
        </w:rPr>
        <w:t>and</w:t>
      </w:r>
      <w:r>
        <w:rPr>
          <w:sz w:val="22"/>
          <w:szCs w:val="22"/>
          <w:lang w:val="en-GB"/>
        </w:rPr>
        <w:t xml:space="preserve"> be specific to your</w:t>
      </w:r>
      <w:r w:rsidRPr="00DA173A">
        <w:rPr>
          <w:sz w:val="22"/>
          <w:szCs w:val="22"/>
          <w:lang w:val="en-IN"/>
        </w:rPr>
        <w:t xml:space="preserve"> research</w:t>
      </w:r>
      <w:r>
        <w:rPr>
          <w:sz w:val="22"/>
          <w:szCs w:val="22"/>
          <w:lang w:val="en-GB"/>
        </w:rPr>
        <w:t xml:space="preserve"> field or sub-field.</w:t>
      </w:r>
    </w:p>
    <w:p w:rsidR="00382897" w:rsidRDefault="00382897">
      <w:pPr>
        <w:spacing w:before="120"/>
        <w:ind w:firstLine="0"/>
        <w:contextualSpacing/>
        <w:rPr>
          <w:b/>
          <w:color w:val="FF0000"/>
          <w:lang w:val="en-GB"/>
        </w:rPr>
      </w:pPr>
    </w:p>
    <w:p w:rsidR="00382897" w:rsidRDefault="007561E4">
      <w:pPr>
        <w:spacing w:before="120"/>
        <w:ind w:firstLine="0"/>
        <w:contextualSpacing/>
        <w:rPr>
          <w:b/>
          <w:color w:val="FF0000"/>
          <w:lang w:val="en-US"/>
        </w:rPr>
      </w:pPr>
      <w:r>
        <w:rPr>
          <w:b/>
          <w:color w:val="FF0000"/>
          <w:lang w:val="en-GB"/>
        </w:rPr>
        <w:t xml:space="preserve">Title in Polish </w:t>
      </w:r>
      <w:r>
        <w:rPr>
          <w:b/>
          <w:color w:val="FF0000"/>
          <w:lang w:val="en-US"/>
        </w:rPr>
        <w:t>(TNR 12, Bold, line spacing 1,5)</w:t>
      </w:r>
      <w:r>
        <w:rPr>
          <w:bCs/>
          <w:lang w:val="en-GB"/>
        </w:rPr>
        <w:t xml:space="preserve"> (the editorial team will support non-Polish authors)</w:t>
      </w:r>
    </w:p>
    <w:p w:rsidR="00382897" w:rsidRDefault="007561E4">
      <w:pPr>
        <w:spacing w:before="240" w:line="276" w:lineRule="auto"/>
        <w:ind w:firstLine="0"/>
        <w:contextualSpacing/>
        <w:rPr>
          <w:b/>
          <w:color w:val="FF0000"/>
          <w:lang w:val="en-GB"/>
        </w:rPr>
      </w:pPr>
      <w:r>
        <w:rPr>
          <w:b/>
          <w:color w:val="FF0000"/>
          <w:sz w:val="20"/>
          <w:szCs w:val="20"/>
          <w:lang w:val="en-GB"/>
        </w:rPr>
        <w:t>Streszczenie</w:t>
      </w:r>
    </w:p>
    <w:p w:rsidR="00382897" w:rsidRDefault="007561E4">
      <w:pPr>
        <w:spacing w:line="276" w:lineRule="auto"/>
        <w:ind w:firstLine="0"/>
        <w:contextualSpacing/>
        <w:rPr>
          <w:color w:val="FF0000"/>
          <w:lang w:val="en-US"/>
        </w:rPr>
      </w:pPr>
      <w:r>
        <w:rPr>
          <w:color w:val="FF0000"/>
          <w:sz w:val="22"/>
          <w:szCs w:val="22"/>
          <w:lang w:val="en-GB"/>
        </w:rPr>
        <w:t>Summary text in Polish (TNR 1</w:t>
      </w:r>
      <w:r w:rsidRPr="00DA173A">
        <w:rPr>
          <w:color w:val="FF0000"/>
          <w:sz w:val="22"/>
          <w:szCs w:val="22"/>
          <w:lang w:val="en-IN"/>
        </w:rPr>
        <w:t>0</w:t>
      </w:r>
      <w:r>
        <w:rPr>
          <w:color w:val="FF0000"/>
          <w:sz w:val="22"/>
          <w:szCs w:val="22"/>
          <w:lang w:val="en-GB"/>
        </w:rPr>
        <w:t xml:space="preserve">, line spacing 1,15) </w:t>
      </w:r>
      <w:r>
        <w:rPr>
          <w:sz w:val="22"/>
          <w:szCs w:val="22"/>
          <w:lang w:val="en-GB"/>
        </w:rPr>
        <w:t>(the editorial team will support non-Polish authors)</w:t>
      </w:r>
    </w:p>
    <w:p w:rsidR="00382897" w:rsidRDefault="007561E4">
      <w:pPr>
        <w:ind w:firstLine="0"/>
        <w:contextualSpacing/>
        <w:rPr>
          <w:color w:val="FF0000"/>
          <w:sz w:val="22"/>
          <w:szCs w:val="22"/>
          <w:lang w:val="en-US"/>
        </w:rPr>
      </w:pPr>
      <w:r>
        <w:rPr>
          <w:b/>
          <w:color w:val="FF0000"/>
          <w:sz w:val="20"/>
          <w:szCs w:val="20"/>
          <w:lang w:val="en-US"/>
        </w:rPr>
        <w:t>Słowa kluczowe:</w:t>
      </w:r>
      <w:r>
        <w:rPr>
          <w:b/>
          <w:color w:val="FF0000"/>
          <w:lang w:val="en-US"/>
        </w:rPr>
        <w:t xml:space="preserve"> </w:t>
      </w:r>
      <w:r>
        <w:rPr>
          <w:color w:val="FF0000"/>
          <w:sz w:val="22"/>
          <w:szCs w:val="22"/>
          <w:lang w:val="en-US"/>
        </w:rPr>
        <w:t>in Polish</w:t>
      </w:r>
    </w:p>
    <w:p w:rsidR="00382897" w:rsidRDefault="00382897">
      <w:pPr>
        <w:rPr>
          <w:lang w:val="en-US"/>
        </w:rPr>
      </w:pPr>
    </w:p>
    <w:p w:rsidR="00382897" w:rsidRDefault="007561E4">
      <w:pPr>
        <w:ind w:firstLine="567"/>
        <w:rPr>
          <w:lang w:val="en-GB"/>
        </w:rPr>
      </w:pPr>
      <w:r>
        <w:rPr>
          <w:lang w:val="en-US"/>
        </w:rPr>
        <w:t>Main text of the article (font: Times New Roman, TNR, size</w:t>
      </w:r>
      <w:r>
        <w:rPr>
          <w:lang w:val="en-US"/>
        </w:rPr>
        <w:t>: 12; line spacing: 1.5; margins: 2.5 cm; justified; paragraph indentation: 1,25</w:t>
      </w:r>
      <w:r>
        <w:rPr>
          <w:lang w:val="en-GB"/>
        </w:rPr>
        <w:t xml:space="preserve">). Please use the </w:t>
      </w:r>
      <w:r>
        <w:rPr>
          <w:b/>
          <w:lang w:val="en-GB"/>
        </w:rPr>
        <w:t xml:space="preserve">IMRaD </w:t>
      </w:r>
      <w:r>
        <w:rPr>
          <w:lang w:val="en-GB"/>
        </w:rPr>
        <w:t>structure</w:t>
      </w:r>
      <w:r w:rsidRPr="00DA173A">
        <w:rPr>
          <w:lang w:val="en-IN"/>
        </w:rPr>
        <w:t xml:space="preserve"> </w:t>
      </w:r>
      <w:r>
        <w:rPr>
          <w:lang w:val="en-GB"/>
        </w:rPr>
        <w:t>(</w:t>
      </w:r>
      <w:r>
        <w:rPr>
          <w:b/>
          <w:lang w:val="en-GB"/>
        </w:rPr>
        <w:t>I</w:t>
      </w:r>
      <w:r>
        <w:rPr>
          <w:lang w:val="en-GB"/>
        </w:rPr>
        <w:t xml:space="preserve">ntroduction, </w:t>
      </w:r>
      <w:r>
        <w:rPr>
          <w:b/>
          <w:lang w:val="en-GB"/>
        </w:rPr>
        <w:t>M</w:t>
      </w:r>
      <w:r>
        <w:rPr>
          <w:lang w:val="en-GB"/>
        </w:rPr>
        <w:t xml:space="preserve">aterials and </w:t>
      </w:r>
      <w:r>
        <w:rPr>
          <w:b/>
          <w:lang w:val="en-GB"/>
        </w:rPr>
        <w:t>M</w:t>
      </w:r>
      <w:r>
        <w:rPr>
          <w:lang w:val="en-GB"/>
        </w:rPr>
        <w:t xml:space="preserve">ethods, </w:t>
      </w:r>
      <w:r>
        <w:rPr>
          <w:b/>
          <w:lang w:val="en-GB"/>
        </w:rPr>
        <w:t>R</w:t>
      </w:r>
      <w:r>
        <w:rPr>
          <w:lang w:val="en-GB"/>
        </w:rPr>
        <w:t xml:space="preserve">esults, </w:t>
      </w:r>
      <w:r>
        <w:rPr>
          <w:b/>
          <w:lang w:val="en-GB"/>
        </w:rPr>
        <w:t>D</w:t>
      </w:r>
      <w:r>
        <w:rPr>
          <w:lang w:val="en-GB"/>
        </w:rPr>
        <w:t xml:space="preserve">iscussion and Conclusions). For more information please consult our </w:t>
      </w:r>
      <w:r w:rsidRPr="00DA173A">
        <w:rPr>
          <w:lang w:val="en-GB"/>
        </w:rPr>
        <w:t>IMRaD structure guide</w:t>
      </w:r>
      <w:r>
        <w:rPr>
          <w:lang w:val="en-GB"/>
        </w:rPr>
        <w:t>.</w:t>
      </w:r>
    </w:p>
    <w:p w:rsidR="00382897" w:rsidRDefault="007561E4">
      <w:pPr>
        <w:spacing w:before="240" w:after="240"/>
        <w:ind w:firstLine="0"/>
        <w:contextualSpacing/>
        <w:jc w:val="center"/>
        <w:rPr>
          <w:b/>
          <w:sz w:val="26"/>
          <w:szCs w:val="26"/>
          <w:lang w:val="en-US"/>
        </w:rPr>
      </w:pPr>
      <w:r>
        <w:rPr>
          <w:b/>
          <w:sz w:val="26"/>
          <w:szCs w:val="26"/>
          <w:lang w:val="en-US"/>
        </w:rPr>
        <w:t>Headings. Centered TNR 1</w:t>
      </w:r>
      <w:r w:rsidRPr="00DA173A">
        <w:rPr>
          <w:b/>
          <w:sz w:val="26"/>
          <w:szCs w:val="26"/>
          <w:lang w:val="en-IN"/>
        </w:rPr>
        <w:t>3</w:t>
      </w:r>
      <w:r>
        <w:rPr>
          <w:b/>
          <w:sz w:val="26"/>
          <w:szCs w:val="26"/>
          <w:lang w:val="en-US"/>
        </w:rPr>
        <w:t>, Bold, line spacing 1,5</w:t>
      </w:r>
    </w:p>
    <w:p w:rsidR="00382897" w:rsidRDefault="007561E4">
      <w:pPr>
        <w:ind w:firstLine="567"/>
        <w:rPr>
          <w:lang w:val="en-US"/>
        </w:rPr>
      </w:pPr>
      <w:r>
        <w:rPr>
          <w:lang w:val="en-US"/>
        </w:rPr>
        <w:t xml:space="preserve">Articles intended for publication in </w:t>
      </w:r>
      <w:r>
        <w:rPr>
          <w:i/>
          <w:iCs/>
          <w:lang w:val="en-US"/>
        </w:rPr>
        <w:t>Przegląd Europejski</w:t>
      </w:r>
      <w:r>
        <w:rPr>
          <w:i/>
          <w:iCs/>
          <w:lang w:val="en-US" w:eastAsia="pl-PL"/>
        </w:rPr>
        <w:t>–European Studies Quarterly</w:t>
      </w:r>
      <w:r>
        <w:rPr>
          <w:b/>
          <w:bCs/>
          <w:lang w:val="en-US"/>
        </w:rPr>
        <w:t xml:space="preserve"> </w:t>
      </w:r>
      <w:r>
        <w:rPr>
          <w:lang w:val="en-US"/>
        </w:rPr>
        <w:t>should be at least 20 00</w:t>
      </w:r>
      <w:r>
        <w:rPr>
          <w:lang w:val="en-US"/>
        </w:rPr>
        <w:t>0 characters long (including spaces) and should not exceed 40 000 characters (including footnotes and bibliography</w:t>
      </w:r>
      <w:r w:rsidRPr="00DA173A">
        <w:rPr>
          <w:lang w:val="en-IN"/>
        </w:rPr>
        <w:t>/references</w:t>
      </w:r>
      <w:r>
        <w:rPr>
          <w:lang w:val="en-US"/>
        </w:rPr>
        <w:t>).</w:t>
      </w:r>
    </w:p>
    <w:p w:rsidR="00382897" w:rsidRDefault="007561E4">
      <w:pPr>
        <w:spacing w:before="240" w:after="240"/>
        <w:ind w:firstLine="0"/>
        <w:contextualSpacing/>
        <w:jc w:val="left"/>
        <w:rPr>
          <w:b/>
          <w:lang w:val="en-US"/>
        </w:rPr>
      </w:pPr>
      <w:r>
        <w:rPr>
          <w:b/>
          <w:lang w:val="en-US"/>
        </w:rPr>
        <w:t>Sub-Headings. Left-aligned TNR 12, Bold, line spacing 1,5</w:t>
      </w:r>
    </w:p>
    <w:p w:rsidR="00382897" w:rsidRDefault="007561E4">
      <w:pPr>
        <w:ind w:firstLine="567"/>
        <w:rPr>
          <w:lang w:val="en-US"/>
        </w:rPr>
      </w:pPr>
      <w:r>
        <w:rPr>
          <w:i/>
          <w:iCs/>
          <w:lang w:val="en-US"/>
        </w:rPr>
        <w:lastRenderedPageBreak/>
        <w:t>Przegląd Europejski</w:t>
      </w:r>
      <w:r>
        <w:rPr>
          <w:i/>
          <w:iCs/>
          <w:lang w:val="en-US" w:eastAsia="pl-PL"/>
        </w:rPr>
        <w:t>–European Studies Quarterly</w:t>
      </w:r>
      <w:r>
        <w:rPr>
          <w:lang w:val="en-US"/>
        </w:rPr>
        <w:t xml:space="preserve"> uses the Harvard refere</w:t>
      </w:r>
      <w:r>
        <w:rPr>
          <w:lang w:val="en-US"/>
        </w:rPr>
        <w:t xml:space="preserve">ncing system (name-year method). For more information please consult our </w:t>
      </w:r>
      <w:r w:rsidRPr="00DA173A">
        <w:rPr>
          <w:lang w:val="en-US"/>
        </w:rPr>
        <w:t>detailed guidelines</w:t>
      </w:r>
      <w:r>
        <w:rPr>
          <w:lang w:val="en-US"/>
        </w:rPr>
        <w:t>.</w:t>
      </w:r>
    </w:p>
    <w:p w:rsidR="00382897" w:rsidRDefault="007561E4">
      <w:pPr>
        <w:ind w:firstLine="567"/>
        <w:rPr>
          <w:lang w:val="en-US"/>
        </w:rPr>
      </w:pPr>
      <w:r>
        <w:rPr>
          <w:lang w:val="en-US"/>
        </w:rPr>
        <w:t>The bibliography</w:t>
      </w:r>
      <w:r w:rsidRPr="00DA173A">
        <w:rPr>
          <w:lang w:val="en-IN"/>
        </w:rPr>
        <w:t>/references</w:t>
      </w:r>
      <w:r>
        <w:rPr>
          <w:lang w:val="en-US"/>
        </w:rPr>
        <w:t xml:space="preserve"> at the end of the article should be formatted as</w:t>
      </w:r>
      <w:r>
        <w:rPr>
          <w:lang w:val="en-US"/>
        </w:rPr>
        <w:t xml:space="preserve"> follows: Times New Roman 1</w:t>
      </w:r>
      <w:r w:rsidRPr="00DA173A">
        <w:rPr>
          <w:lang w:val="en-IN"/>
        </w:rPr>
        <w:t>0</w:t>
      </w:r>
      <w:r>
        <w:rPr>
          <w:lang w:val="en-US"/>
        </w:rPr>
        <w:t>, line spacing: 1,</w:t>
      </w:r>
      <w:r w:rsidRPr="00DA173A">
        <w:rPr>
          <w:lang w:val="en-IN"/>
        </w:rPr>
        <w:t>1</w:t>
      </w:r>
      <w:r>
        <w:rPr>
          <w:lang w:val="en-US"/>
        </w:rPr>
        <w:t>5, margins: 2,5 cm, justified</w:t>
      </w:r>
      <w:r w:rsidRPr="00DA173A">
        <w:rPr>
          <w:lang w:val="en-IN"/>
        </w:rPr>
        <w:t xml:space="preserve">, </w:t>
      </w:r>
      <w:r>
        <w:rPr>
          <w:lang w:val="en-US"/>
        </w:rPr>
        <w:t>for indentation please use hanging indent 1,25</w:t>
      </w:r>
      <w:r w:rsidRPr="00DA173A">
        <w:rPr>
          <w:lang w:val="en-IN"/>
        </w:rPr>
        <w:t xml:space="preserve">). </w:t>
      </w:r>
      <w:r>
        <w:rPr>
          <w:lang w:val="en-US"/>
        </w:rPr>
        <w:t>All included sources (books, articles, websites, etc.) should be arranged alphabetically (by author’s name or publication title i</w:t>
      </w:r>
      <w:r>
        <w:rPr>
          <w:lang w:val="en-US"/>
        </w:rPr>
        <w:t>f there is no indication of authorship), with works by the same author mentioned in chronological order.</w:t>
      </w:r>
    </w:p>
    <w:p w:rsidR="00382897" w:rsidRPr="00DA173A" w:rsidRDefault="007561E4">
      <w:pPr>
        <w:ind w:firstLine="567"/>
        <w:rPr>
          <w:lang w:val="en-IN"/>
        </w:rPr>
      </w:pPr>
      <w:r w:rsidRPr="00DA173A">
        <w:rPr>
          <w:lang w:val="en-IN"/>
        </w:rPr>
        <w:t>Example:</w:t>
      </w:r>
    </w:p>
    <w:p w:rsidR="00382897" w:rsidRPr="00DA173A" w:rsidRDefault="007561E4">
      <w:pPr>
        <w:ind w:firstLine="567"/>
        <w:rPr>
          <w:lang w:val="en-IN"/>
        </w:rPr>
      </w:pPr>
      <w:r w:rsidRPr="00DA173A">
        <w:rPr>
          <w:lang w:val="en-IN"/>
        </w:rPr>
        <w:t>„</w:t>
      </w:r>
      <w:r w:rsidRPr="00DA173A">
        <w:rPr>
          <w:lang w:val="en-IN"/>
        </w:rPr>
        <w:t>I</w:t>
      </w:r>
      <w:r w:rsidRPr="00DA173A">
        <w:rPr>
          <w:lang w:val="en-IN"/>
        </w:rPr>
        <w:t xml:space="preserve">n Polish and foreign literature, the control of compliance with the principle of subsidiarity has been </w:t>
      </w:r>
      <w:r w:rsidRPr="00DA173A">
        <w:rPr>
          <w:lang w:val="en-IN"/>
        </w:rPr>
        <w:t>analysed</w:t>
      </w:r>
      <w:r w:rsidRPr="00DA173A">
        <w:rPr>
          <w:lang w:val="en-IN"/>
        </w:rPr>
        <w:t xml:space="preserve"> mainly through the prism of </w:t>
      </w:r>
      <w:r w:rsidRPr="00DA173A">
        <w:rPr>
          <w:lang w:val="en-IN"/>
        </w:rPr>
        <w:t>formal and legal conditions (Pudło 2013, 2014, 2015). The conclusions and assessments were based on the experience of the first two years of operation of the early warning mechanism (Adamiec 2012: p. 23–25; Grzelak, Łacny 2011; Kiiver 2012a,b; Pirozzi et a</w:t>
      </w:r>
      <w:r w:rsidRPr="00DA173A">
        <w:rPr>
          <w:lang w:val="en-IN"/>
        </w:rPr>
        <w:t>l. 2017).”</w:t>
      </w:r>
    </w:p>
    <w:p w:rsidR="00382897" w:rsidRDefault="007561E4">
      <w:pPr>
        <w:spacing w:before="240" w:line="276" w:lineRule="auto"/>
        <w:ind w:firstLine="0"/>
        <w:rPr>
          <w:sz w:val="20"/>
          <w:szCs w:val="20"/>
          <w:lang w:val="en-US"/>
        </w:rPr>
      </w:pPr>
      <w:r>
        <w:rPr>
          <w:b/>
          <w:color w:val="FF0000"/>
          <w:sz w:val="20"/>
          <w:szCs w:val="20"/>
          <w:lang w:val="en-US"/>
        </w:rPr>
        <w:t>Name and Surname</w:t>
      </w:r>
      <w:r>
        <w:rPr>
          <w:sz w:val="20"/>
          <w:szCs w:val="20"/>
          <w:lang w:val="en-US"/>
        </w:rPr>
        <w:t xml:space="preserve"> – a brief biographical note (not exceeding 70 words) containing information on the author's academic degree/title, as well as research interests.</w:t>
      </w:r>
    </w:p>
    <w:p w:rsidR="00382897" w:rsidRDefault="007561E4">
      <w:pPr>
        <w:spacing w:before="240" w:line="276" w:lineRule="auto"/>
        <w:ind w:firstLine="0"/>
        <w:rPr>
          <w:sz w:val="20"/>
          <w:szCs w:val="20"/>
          <w:lang w:val="en-US"/>
        </w:rPr>
      </w:pPr>
      <w:r>
        <w:rPr>
          <w:b/>
          <w:color w:val="FF0000"/>
          <w:sz w:val="20"/>
          <w:szCs w:val="20"/>
          <w:lang w:val="en-US"/>
        </w:rPr>
        <w:t>Imię i nazwisko</w:t>
      </w:r>
      <w:r>
        <w:rPr>
          <w:color w:val="FF0000"/>
          <w:sz w:val="20"/>
          <w:szCs w:val="20"/>
          <w:lang w:val="en-US"/>
        </w:rPr>
        <w:t xml:space="preserve"> </w:t>
      </w:r>
      <w:r>
        <w:rPr>
          <w:sz w:val="20"/>
          <w:szCs w:val="20"/>
          <w:lang w:val="en-US"/>
        </w:rPr>
        <w:t>– a brief biographical note in Polish (</w:t>
      </w:r>
      <w:r>
        <w:rPr>
          <w:sz w:val="20"/>
          <w:szCs w:val="20"/>
          <w:lang w:val="en-GB"/>
        </w:rPr>
        <w:t xml:space="preserve">the editorial team will </w:t>
      </w:r>
      <w:r>
        <w:rPr>
          <w:sz w:val="20"/>
          <w:szCs w:val="20"/>
          <w:lang w:val="en-GB"/>
        </w:rPr>
        <w:t>support non-Polish authors)</w:t>
      </w:r>
      <w:r>
        <w:rPr>
          <w:sz w:val="20"/>
          <w:szCs w:val="20"/>
          <w:lang w:val="en-US"/>
        </w:rPr>
        <w:t>.</w:t>
      </w:r>
    </w:p>
    <w:p w:rsidR="00382897" w:rsidRDefault="00382897">
      <w:pPr>
        <w:ind w:firstLine="0"/>
        <w:rPr>
          <w:lang w:val="en-US"/>
        </w:rPr>
      </w:pPr>
    </w:p>
    <w:p w:rsidR="00382897" w:rsidRPr="00DA173A" w:rsidRDefault="007561E4">
      <w:pPr>
        <w:ind w:left="426" w:hanging="426"/>
        <w:rPr>
          <w:b/>
          <w:sz w:val="28"/>
          <w:szCs w:val="28"/>
          <w:lang w:val="pl-PL"/>
        </w:rPr>
      </w:pPr>
      <w:hyperlink r:id="rId6" w:history="1">
        <w:r w:rsidRPr="00DA173A">
          <w:rPr>
            <w:rStyle w:val="Hipercze"/>
            <w:b/>
            <w:sz w:val="28"/>
            <w:szCs w:val="28"/>
            <w:lang w:val="pl-PL"/>
          </w:rPr>
          <w:t>References</w:t>
        </w:r>
      </w:hyperlink>
      <w:r w:rsidRPr="00DA173A">
        <w:rPr>
          <w:b/>
          <w:sz w:val="28"/>
          <w:szCs w:val="28"/>
          <w:lang w:val="pl-PL"/>
        </w:rPr>
        <w:t>:</w:t>
      </w:r>
      <w:r w:rsidRPr="00DA173A">
        <w:rPr>
          <w:b/>
          <w:sz w:val="28"/>
          <w:szCs w:val="28"/>
          <w:lang w:val="pl-PL"/>
        </w:rPr>
        <w:t xml:space="preserve"> </w:t>
      </w:r>
      <w:r w:rsidR="00DA173A" w:rsidRPr="00DA173A">
        <w:rPr>
          <w:color w:val="FF0000"/>
          <w:sz w:val="22"/>
          <w:szCs w:val="22"/>
          <w:lang w:val="pl-PL"/>
        </w:rPr>
        <w:t>(TNR 14, line spacing 1,5)</w:t>
      </w:r>
    </w:p>
    <w:p w:rsidR="00382897" w:rsidRDefault="007561E4">
      <w:pPr>
        <w:spacing w:line="276" w:lineRule="auto"/>
        <w:ind w:left="426" w:hanging="426"/>
        <w:rPr>
          <w:sz w:val="20"/>
          <w:szCs w:val="20"/>
          <w:lang w:val="pl-PL"/>
        </w:rPr>
      </w:pPr>
      <w:r>
        <w:rPr>
          <w:color w:val="FF0000"/>
          <w:sz w:val="22"/>
          <w:szCs w:val="22"/>
          <w:lang w:val="pl-PL"/>
        </w:rPr>
        <w:t>(TNR 1</w:t>
      </w:r>
      <w:r>
        <w:rPr>
          <w:color w:val="FF0000"/>
          <w:sz w:val="22"/>
          <w:szCs w:val="22"/>
          <w:lang w:val="pl-PL"/>
        </w:rPr>
        <w:t>0</w:t>
      </w:r>
      <w:r>
        <w:rPr>
          <w:color w:val="FF0000"/>
          <w:sz w:val="22"/>
          <w:szCs w:val="22"/>
          <w:lang w:val="pl-PL"/>
        </w:rPr>
        <w:t>, line spacing 1,15)</w:t>
      </w:r>
      <w:r w:rsidR="00DA173A">
        <w:rPr>
          <w:color w:val="FF0000"/>
          <w:sz w:val="22"/>
          <w:szCs w:val="22"/>
          <w:lang w:val="pl-PL"/>
        </w:rPr>
        <w:t xml:space="preserve"> </w:t>
      </w:r>
      <w:bookmarkStart w:id="0" w:name="_GoBack"/>
      <w:bookmarkEnd w:id="0"/>
      <w:r>
        <w:rPr>
          <w:sz w:val="20"/>
          <w:szCs w:val="20"/>
          <w:lang w:val="pl-PL"/>
        </w:rPr>
        <w:t xml:space="preserve">ADAMIEC Danuta (2012), </w:t>
      </w:r>
      <w:r>
        <w:rPr>
          <w:i/>
          <w:iCs/>
          <w:sz w:val="20"/>
          <w:szCs w:val="20"/>
          <w:lang w:val="pl-PL"/>
        </w:rPr>
        <w:t>Pierwszy wypadek zastosowania mechanizmu żółtej kartki – opinie parlamentów dotyczące rozporządzenia Monti II</w:t>
      </w:r>
      <w:r>
        <w:rPr>
          <w:sz w:val="20"/>
          <w:szCs w:val="20"/>
          <w:lang w:val="pl-PL"/>
        </w:rPr>
        <w:t>, „Zeszyty Prawnicze Biura Analiz Sejmowych”, nr 3.</w:t>
      </w:r>
    </w:p>
    <w:p w:rsidR="00382897" w:rsidRDefault="007561E4">
      <w:pPr>
        <w:spacing w:line="276" w:lineRule="auto"/>
        <w:ind w:left="426" w:hanging="426"/>
        <w:rPr>
          <w:sz w:val="20"/>
          <w:szCs w:val="20"/>
          <w:lang w:val="pl-PL"/>
        </w:rPr>
      </w:pPr>
      <w:r>
        <w:rPr>
          <w:sz w:val="20"/>
          <w:szCs w:val="20"/>
          <w:lang w:val="pl-PL"/>
        </w:rPr>
        <w:t xml:space="preserve">GRZELAK Agnieszka, ŁACNY Justyna (2011), </w:t>
      </w:r>
      <w:r>
        <w:rPr>
          <w:i/>
          <w:iCs/>
          <w:sz w:val="20"/>
          <w:szCs w:val="20"/>
          <w:lang w:val="pl-PL"/>
        </w:rPr>
        <w:t>Kontrola przestrzegania unijnej zasady pomocniczości przez parlamenty narodowe – pierwsze doświadczenia</w:t>
      </w:r>
      <w:r>
        <w:rPr>
          <w:sz w:val="20"/>
          <w:szCs w:val="20"/>
          <w:lang w:val="pl-PL"/>
        </w:rPr>
        <w:t>, „Zeszyty Prawnicze Biura Analiz Sejmowych”, nr 4.</w:t>
      </w:r>
    </w:p>
    <w:p w:rsidR="00382897" w:rsidRDefault="007561E4">
      <w:pPr>
        <w:spacing w:line="276" w:lineRule="auto"/>
        <w:ind w:left="426" w:hanging="426"/>
        <w:rPr>
          <w:sz w:val="20"/>
          <w:szCs w:val="20"/>
          <w:lang w:val="en-GB"/>
        </w:rPr>
      </w:pPr>
      <w:r>
        <w:rPr>
          <w:sz w:val="20"/>
          <w:szCs w:val="20"/>
          <w:lang w:val="en-GB"/>
        </w:rPr>
        <w:t xml:space="preserve">KIIVER Philipp (2012a), </w:t>
      </w:r>
      <w:r>
        <w:rPr>
          <w:i/>
          <w:iCs/>
          <w:sz w:val="20"/>
          <w:szCs w:val="20"/>
          <w:lang w:val="en-GB"/>
        </w:rPr>
        <w:t>The Early Warning System for the Principle of Subsidiarity: Constitutional Th</w:t>
      </w:r>
      <w:r>
        <w:rPr>
          <w:i/>
          <w:iCs/>
          <w:sz w:val="20"/>
          <w:szCs w:val="20"/>
          <w:lang w:val="en-GB"/>
        </w:rPr>
        <w:t>eory and Empirical Reality</w:t>
      </w:r>
      <w:r>
        <w:rPr>
          <w:sz w:val="20"/>
          <w:szCs w:val="20"/>
          <w:lang w:val="en-GB"/>
        </w:rPr>
        <w:t>, Abington.</w:t>
      </w:r>
    </w:p>
    <w:p w:rsidR="00382897" w:rsidRDefault="007561E4">
      <w:pPr>
        <w:spacing w:line="276" w:lineRule="auto"/>
        <w:ind w:left="426" w:hanging="426"/>
        <w:rPr>
          <w:sz w:val="20"/>
          <w:szCs w:val="20"/>
          <w:lang w:val="en-GB"/>
        </w:rPr>
      </w:pPr>
      <w:r>
        <w:rPr>
          <w:sz w:val="20"/>
          <w:szCs w:val="20"/>
          <w:lang w:val="en-GB"/>
        </w:rPr>
        <w:t xml:space="preserve">KIIVER Philipp (2012b), </w:t>
      </w:r>
      <w:r>
        <w:rPr>
          <w:i/>
          <w:iCs/>
          <w:sz w:val="20"/>
          <w:szCs w:val="20"/>
          <w:lang w:val="en-GB"/>
        </w:rPr>
        <w:t>The conduct of subsidiarity checks of EU legislative proposals by national parliaments: analysis, observation and practical recommendation</w:t>
      </w:r>
      <w:r>
        <w:rPr>
          <w:sz w:val="20"/>
          <w:szCs w:val="20"/>
          <w:lang w:val="en-GB"/>
        </w:rPr>
        <w:t>, „ERA-Forum”, vol. 12, no. 4.</w:t>
      </w:r>
    </w:p>
    <w:p w:rsidR="00382897" w:rsidRDefault="007561E4">
      <w:pPr>
        <w:spacing w:line="276" w:lineRule="auto"/>
        <w:ind w:left="426" w:hanging="426"/>
        <w:rPr>
          <w:sz w:val="20"/>
          <w:szCs w:val="20"/>
          <w:lang w:val="en-US"/>
        </w:rPr>
      </w:pPr>
      <w:r>
        <w:rPr>
          <w:sz w:val="20"/>
          <w:szCs w:val="20"/>
          <w:lang w:val="en-US"/>
        </w:rPr>
        <w:t>PIROZZI Nicoletta, SARTOR</w:t>
      </w:r>
      <w:r>
        <w:rPr>
          <w:sz w:val="20"/>
          <w:szCs w:val="20"/>
          <w:lang w:val="en-US"/>
        </w:rPr>
        <w:t xml:space="preserve">I Nicoló, VENTURI Bernardo (2017), </w:t>
      </w:r>
      <w:r>
        <w:rPr>
          <w:i/>
          <w:sz w:val="20"/>
          <w:szCs w:val="20"/>
          <w:lang w:val="en-US"/>
        </w:rPr>
        <w:t>Study “The Joint Africa-EU Strategy”</w:t>
      </w:r>
      <w:r>
        <w:rPr>
          <w:sz w:val="20"/>
          <w:szCs w:val="20"/>
          <w:lang w:val="en-US"/>
        </w:rPr>
        <w:t>, European Parliament, Directorate-General For External Policies, Brussels, https://www.europarl.europa.eu/RegData/etudes/STUD/2017/603849/EXPO_STU(2017)603849_EN.pdf (15.11.2017).</w:t>
      </w:r>
    </w:p>
    <w:p w:rsidR="00382897" w:rsidRDefault="007561E4">
      <w:pPr>
        <w:spacing w:line="276" w:lineRule="auto"/>
        <w:ind w:left="426" w:hanging="426"/>
        <w:rPr>
          <w:sz w:val="20"/>
          <w:szCs w:val="20"/>
          <w:lang w:val="pl-PL"/>
        </w:rPr>
      </w:pPr>
      <w:r>
        <w:rPr>
          <w:sz w:val="20"/>
          <w:szCs w:val="20"/>
          <w:lang w:val="pl-PL"/>
        </w:rPr>
        <w:t>PUDŁ</w:t>
      </w:r>
      <w:r>
        <w:rPr>
          <w:sz w:val="20"/>
          <w:szCs w:val="20"/>
          <w:lang w:val="pl-PL"/>
        </w:rPr>
        <w:t xml:space="preserve">O Anna (2013), </w:t>
      </w:r>
      <w:r>
        <w:rPr>
          <w:i/>
          <w:iCs/>
          <w:sz w:val="20"/>
          <w:szCs w:val="20"/>
          <w:lang w:val="pl-PL"/>
        </w:rPr>
        <w:t>Przestrzeganie zasady pomocniczości w polskim parlamencie</w:t>
      </w:r>
      <w:r>
        <w:rPr>
          <w:sz w:val="20"/>
          <w:szCs w:val="20"/>
          <w:lang w:val="pl-PL"/>
        </w:rPr>
        <w:t>, „Roczniki Administracji i Prawa: Teoria i Praktyka”, Rok 13.</w:t>
      </w:r>
    </w:p>
    <w:p w:rsidR="00382897" w:rsidRDefault="007561E4">
      <w:pPr>
        <w:spacing w:line="276" w:lineRule="auto"/>
        <w:ind w:left="426" w:hanging="426"/>
        <w:rPr>
          <w:sz w:val="20"/>
          <w:szCs w:val="20"/>
          <w:lang w:val="pl-PL"/>
        </w:rPr>
      </w:pPr>
      <w:r>
        <w:rPr>
          <w:sz w:val="20"/>
          <w:szCs w:val="20"/>
          <w:lang w:val="pl-PL"/>
        </w:rPr>
        <w:t xml:space="preserve">PUDŁO Anna (2014), </w:t>
      </w:r>
      <w:r>
        <w:rPr>
          <w:i/>
          <w:iCs/>
          <w:sz w:val="20"/>
          <w:szCs w:val="20"/>
          <w:lang w:val="pl-PL"/>
        </w:rPr>
        <w:t>Rola parlamentu narodowego w sprawach UE po wejściu w życie Traktatu z Lizbony</w:t>
      </w:r>
      <w:r>
        <w:rPr>
          <w:sz w:val="20"/>
          <w:szCs w:val="20"/>
          <w:lang w:val="pl-PL"/>
        </w:rPr>
        <w:t>, Warszawa.</w:t>
      </w:r>
    </w:p>
    <w:p w:rsidR="00382897" w:rsidRDefault="007561E4">
      <w:pPr>
        <w:spacing w:line="276" w:lineRule="auto"/>
        <w:ind w:left="426" w:hanging="426"/>
        <w:rPr>
          <w:sz w:val="20"/>
          <w:szCs w:val="20"/>
          <w:lang w:val="pl-PL"/>
        </w:rPr>
      </w:pPr>
      <w:r>
        <w:rPr>
          <w:sz w:val="20"/>
          <w:szCs w:val="20"/>
          <w:lang w:val="pl-PL"/>
        </w:rPr>
        <w:t>PUDŁO Anna (</w:t>
      </w:r>
      <w:r>
        <w:rPr>
          <w:sz w:val="20"/>
          <w:szCs w:val="20"/>
          <w:lang w:val="pl-PL"/>
        </w:rPr>
        <w:t xml:space="preserve">2015), </w:t>
      </w:r>
      <w:r>
        <w:rPr>
          <w:i/>
          <w:iCs/>
          <w:sz w:val="20"/>
          <w:szCs w:val="20"/>
          <w:lang w:val="pl-PL"/>
        </w:rPr>
        <w:t>Funkcja europejska parlamentów państw członkowskich Unii Europejskiej</w:t>
      </w:r>
      <w:r>
        <w:rPr>
          <w:sz w:val="20"/>
          <w:szCs w:val="20"/>
          <w:lang w:val="pl-PL"/>
        </w:rPr>
        <w:t>, „Przegląd Sejmowy”, nr 1(126).</w:t>
      </w:r>
    </w:p>
    <w:p w:rsidR="00382897" w:rsidRDefault="00382897">
      <w:pPr>
        <w:spacing w:line="276" w:lineRule="auto"/>
        <w:ind w:left="426" w:hanging="426"/>
        <w:rPr>
          <w:sz w:val="20"/>
          <w:szCs w:val="20"/>
          <w:lang w:val="pl-PL"/>
        </w:rPr>
      </w:pPr>
    </w:p>
    <w:p w:rsidR="00382897" w:rsidRPr="00DA173A" w:rsidRDefault="007561E4">
      <w:pPr>
        <w:spacing w:line="276" w:lineRule="auto"/>
        <w:ind w:left="426" w:hanging="426"/>
        <w:rPr>
          <w:color w:val="FF0000"/>
          <w:lang w:val="en-IN"/>
        </w:rPr>
      </w:pPr>
      <w:r>
        <w:rPr>
          <w:rFonts w:eastAsia="SimSun"/>
          <w:color w:val="FF0000"/>
          <w:lang w:val="en-US"/>
        </w:rPr>
        <w:t xml:space="preserve">All </w:t>
      </w:r>
      <w:r w:rsidRPr="00DA173A">
        <w:rPr>
          <w:rFonts w:eastAsia="SimSun"/>
          <w:color w:val="FF0000"/>
          <w:lang w:val="en-IN"/>
        </w:rPr>
        <w:t>publications</w:t>
      </w:r>
      <w:r>
        <w:rPr>
          <w:rFonts w:eastAsia="SimSun"/>
          <w:color w:val="FF0000"/>
          <w:lang w:val="en-US"/>
        </w:rPr>
        <w:t xml:space="preserve"> should be referenced in the text of the article! </w:t>
      </w:r>
      <w:r w:rsidRPr="00DA173A">
        <w:rPr>
          <w:rFonts w:eastAsia="SimSun"/>
          <w:color w:val="FF0000"/>
          <w:lang w:val="en-IN"/>
        </w:rPr>
        <w:t>Publications</w:t>
      </w:r>
      <w:r>
        <w:rPr>
          <w:rFonts w:eastAsia="SimSun"/>
          <w:color w:val="FF0000"/>
          <w:lang w:val="en-US"/>
        </w:rPr>
        <w:t xml:space="preserve"> that are not referenced in the text will be automatically removed from the </w:t>
      </w:r>
      <w:r w:rsidRPr="00DA173A">
        <w:rPr>
          <w:rFonts w:eastAsia="SimSun"/>
          <w:color w:val="FF0000"/>
          <w:lang w:val="en-IN"/>
        </w:rPr>
        <w:t>References</w:t>
      </w:r>
      <w:r>
        <w:rPr>
          <w:rFonts w:eastAsia="SimSun"/>
          <w:color w:val="FF0000"/>
          <w:lang w:val="en-US"/>
        </w:rPr>
        <w:t>.</w:t>
      </w:r>
    </w:p>
    <w:sectPr w:rsidR="00382897" w:rsidRPr="00DA173A">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1E4" w:rsidRDefault="007561E4">
      <w:pPr>
        <w:spacing w:line="240" w:lineRule="auto"/>
      </w:pPr>
      <w:r>
        <w:separator/>
      </w:r>
    </w:p>
  </w:endnote>
  <w:endnote w:type="continuationSeparator" w:id="0">
    <w:p w:rsidR="007561E4" w:rsidRDefault="00756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default"/>
    <w:sig w:usb0="E4002EFF" w:usb1="C000E47F" w:usb2="00000009" w:usb3="00000000" w:csb0="2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897" w:rsidRDefault="007561E4">
    <w:pPr>
      <w:pStyle w:val="Stopka"/>
      <w:framePr w:wrap="auto"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82897" w:rsidRDefault="0038289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897" w:rsidRDefault="007561E4">
    <w:pPr>
      <w:pStyle w:val="Stopka"/>
      <w:framePr w:wrap="auto"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DA173A">
      <w:rPr>
        <w:rStyle w:val="Numerstrony"/>
        <w:noProof/>
      </w:rPr>
      <w:t>2</w:t>
    </w:r>
    <w:r>
      <w:rPr>
        <w:rStyle w:val="Numerstrony"/>
      </w:rPr>
      <w:fldChar w:fldCharType="end"/>
    </w:r>
  </w:p>
  <w:p w:rsidR="00382897" w:rsidRDefault="0038289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1E4" w:rsidRDefault="007561E4">
      <w:r>
        <w:separator/>
      </w:r>
    </w:p>
  </w:footnote>
  <w:footnote w:type="continuationSeparator" w:id="0">
    <w:p w:rsidR="007561E4" w:rsidRDefault="00756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73A"/>
    <w:rsid w:val="0000743C"/>
    <w:rsid w:val="0001646E"/>
    <w:rsid w:val="00017ACF"/>
    <w:rsid w:val="00022FA5"/>
    <w:rsid w:val="00026738"/>
    <w:rsid w:val="00036A50"/>
    <w:rsid w:val="0004164F"/>
    <w:rsid w:val="000B7B16"/>
    <w:rsid w:val="000D438F"/>
    <w:rsid w:val="000F5666"/>
    <w:rsid w:val="0011012D"/>
    <w:rsid w:val="00117B26"/>
    <w:rsid w:val="00117C42"/>
    <w:rsid w:val="00120ADB"/>
    <w:rsid w:val="00131210"/>
    <w:rsid w:val="001323D4"/>
    <w:rsid w:val="00151308"/>
    <w:rsid w:val="00154CD0"/>
    <w:rsid w:val="00187225"/>
    <w:rsid w:val="0019732C"/>
    <w:rsid w:val="001A0260"/>
    <w:rsid w:val="001A034F"/>
    <w:rsid w:val="001A5B63"/>
    <w:rsid w:val="001C11CC"/>
    <w:rsid w:val="001D1DCF"/>
    <w:rsid w:val="001D44F8"/>
    <w:rsid w:val="001E1413"/>
    <w:rsid w:val="001E4315"/>
    <w:rsid w:val="00207202"/>
    <w:rsid w:val="002177B0"/>
    <w:rsid w:val="002374D3"/>
    <w:rsid w:val="0024611F"/>
    <w:rsid w:val="002627C3"/>
    <w:rsid w:val="00265B15"/>
    <w:rsid w:val="0027058F"/>
    <w:rsid w:val="00272138"/>
    <w:rsid w:val="002963A8"/>
    <w:rsid w:val="002A0983"/>
    <w:rsid w:val="002A37C3"/>
    <w:rsid w:val="002B2389"/>
    <w:rsid w:val="002F23EF"/>
    <w:rsid w:val="00305496"/>
    <w:rsid w:val="00307697"/>
    <w:rsid w:val="00307E3A"/>
    <w:rsid w:val="00310444"/>
    <w:rsid w:val="00314BB8"/>
    <w:rsid w:val="00323BAD"/>
    <w:rsid w:val="00324D09"/>
    <w:rsid w:val="003256D2"/>
    <w:rsid w:val="00327581"/>
    <w:rsid w:val="00333791"/>
    <w:rsid w:val="00343DE8"/>
    <w:rsid w:val="0034551A"/>
    <w:rsid w:val="00353694"/>
    <w:rsid w:val="0036086A"/>
    <w:rsid w:val="003738B4"/>
    <w:rsid w:val="00382897"/>
    <w:rsid w:val="003906BA"/>
    <w:rsid w:val="003A0998"/>
    <w:rsid w:val="003C735C"/>
    <w:rsid w:val="004012F1"/>
    <w:rsid w:val="00404249"/>
    <w:rsid w:val="0040497E"/>
    <w:rsid w:val="004070C9"/>
    <w:rsid w:val="00424C00"/>
    <w:rsid w:val="004442A7"/>
    <w:rsid w:val="0046158F"/>
    <w:rsid w:val="00470C07"/>
    <w:rsid w:val="00477608"/>
    <w:rsid w:val="004A3435"/>
    <w:rsid w:val="004C03BF"/>
    <w:rsid w:val="004C59CC"/>
    <w:rsid w:val="004D2A2B"/>
    <w:rsid w:val="005144C9"/>
    <w:rsid w:val="00516D67"/>
    <w:rsid w:val="00524D76"/>
    <w:rsid w:val="00532EA1"/>
    <w:rsid w:val="00534BD0"/>
    <w:rsid w:val="005371C6"/>
    <w:rsid w:val="00545982"/>
    <w:rsid w:val="00570A5F"/>
    <w:rsid w:val="005811A3"/>
    <w:rsid w:val="00591A5B"/>
    <w:rsid w:val="00592AED"/>
    <w:rsid w:val="00594BB1"/>
    <w:rsid w:val="005B46BD"/>
    <w:rsid w:val="005E4F8F"/>
    <w:rsid w:val="005E659D"/>
    <w:rsid w:val="006058B6"/>
    <w:rsid w:val="0061177A"/>
    <w:rsid w:val="00611E85"/>
    <w:rsid w:val="00652BE7"/>
    <w:rsid w:val="006825BA"/>
    <w:rsid w:val="00684B10"/>
    <w:rsid w:val="006A4736"/>
    <w:rsid w:val="006A5720"/>
    <w:rsid w:val="006B62C4"/>
    <w:rsid w:val="006B7313"/>
    <w:rsid w:val="006C3CE1"/>
    <w:rsid w:val="006E2B68"/>
    <w:rsid w:val="0070145D"/>
    <w:rsid w:val="00715037"/>
    <w:rsid w:val="0072159E"/>
    <w:rsid w:val="00727A2E"/>
    <w:rsid w:val="00737FD8"/>
    <w:rsid w:val="007523E3"/>
    <w:rsid w:val="00755F89"/>
    <w:rsid w:val="007561E4"/>
    <w:rsid w:val="007600AB"/>
    <w:rsid w:val="007742E4"/>
    <w:rsid w:val="00783988"/>
    <w:rsid w:val="00793FFA"/>
    <w:rsid w:val="007C1631"/>
    <w:rsid w:val="007D1FC6"/>
    <w:rsid w:val="007E753C"/>
    <w:rsid w:val="007F4388"/>
    <w:rsid w:val="0080335C"/>
    <w:rsid w:val="00804269"/>
    <w:rsid w:val="00815102"/>
    <w:rsid w:val="00820B70"/>
    <w:rsid w:val="00822AC0"/>
    <w:rsid w:val="008253EB"/>
    <w:rsid w:val="00830121"/>
    <w:rsid w:val="00837E04"/>
    <w:rsid w:val="00840846"/>
    <w:rsid w:val="00851838"/>
    <w:rsid w:val="00856356"/>
    <w:rsid w:val="00874F3F"/>
    <w:rsid w:val="0089587E"/>
    <w:rsid w:val="008A0080"/>
    <w:rsid w:val="008B3A0A"/>
    <w:rsid w:val="008B447B"/>
    <w:rsid w:val="008C7DFF"/>
    <w:rsid w:val="008D1E68"/>
    <w:rsid w:val="008E154A"/>
    <w:rsid w:val="008F755B"/>
    <w:rsid w:val="00902609"/>
    <w:rsid w:val="0091382E"/>
    <w:rsid w:val="00915145"/>
    <w:rsid w:val="00937B55"/>
    <w:rsid w:val="00962815"/>
    <w:rsid w:val="00972A80"/>
    <w:rsid w:val="0097430A"/>
    <w:rsid w:val="0097676B"/>
    <w:rsid w:val="0097784E"/>
    <w:rsid w:val="00995984"/>
    <w:rsid w:val="00997D72"/>
    <w:rsid w:val="009A08CE"/>
    <w:rsid w:val="009B01FF"/>
    <w:rsid w:val="009B4F84"/>
    <w:rsid w:val="009C6EF3"/>
    <w:rsid w:val="009C74DD"/>
    <w:rsid w:val="009D32A5"/>
    <w:rsid w:val="009E31EE"/>
    <w:rsid w:val="009E66D6"/>
    <w:rsid w:val="009F13D4"/>
    <w:rsid w:val="009F1DF4"/>
    <w:rsid w:val="00A07C11"/>
    <w:rsid w:val="00A11C82"/>
    <w:rsid w:val="00A140E8"/>
    <w:rsid w:val="00A16566"/>
    <w:rsid w:val="00A26176"/>
    <w:rsid w:val="00A2763B"/>
    <w:rsid w:val="00A457DB"/>
    <w:rsid w:val="00A5322D"/>
    <w:rsid w:val="00A601A4"/>
    <w:rsid w:val="00A74B89"/>
    <w:rsid w:val="00A77CB9"/>
    <w:rsid w:val="00A82B30"/>
    <w:rsid w:val="00A917F8"/>
    <w:rsid w:val="00AA5968"/>
    <w:rsid w:val="00AA703F"/>
    <w:rsid w:val="00AB3EB2"/>
    <w:rsid w:val="00AB42B2"/>
    <w:rsid w:val="00AD04D7"/>
    <w:rsid w:val="00B03690"/>
    <w:rsid w:val="00B310D2"/>
    <w:rsid w:val="00B35FEE"/>
    <w:rsid w:val="00B37075"/>
    <w:rsid w:val="00B37478"/>
    <w:rsid w:val="00B436BA"/>
    <w:rsid w:val="00B53267"/>
    <w:rsid w:val="00B615F9"/>
    <w:rsid w:val="00B631B4"/>
    <w:rsid w:val="00B773C5"/>
    <w:rsid w:val="00B82D61"/>
    <w:rsid w:val="00B94380"/>
    <w:rsid w:val="00BD04F6"/>
    <w:rsid w:val="00BD4829"/>
    <w:rsid w:val="00BD7CEE"/>
    <w:rsid w:val="00C0408A"/>
    <w:rsid w:val="00C0780B"/>
    <w:rsid w:val="00C120BE"/>
    <w:rsid w:val="00C2022E"/>
    <w:rsid w:val="00C4191E"/>
    <w:rsid w:val="00C421ED"/>
    <w:rsid w:val="00C61144"/>
    <w:rsid w:val="00C67E83"/>
    <w:rsid w:val="00C70ECD"/>
    <w:rsid w:val="00C73E7A"/>
    <w:rsid w:val="00CA7E40"/>
    <w:rsid w:val="00CC42BB"/>
    <w:rsid w:val="00CD44FA"/>
    <w:rsid w:val="00CD5D34"/>
    <w:rsid w:val="00CF5D8F"/>
    <w:rsid w:val="00CF78B3"/>
    <w:rsid w:val="00D00E75"/>
    <w:rsid w:val="00D270C8"/>
    <w:rsid w:val="00D44EE7"/>
    <w:rsid w:val="00D62DEA"/>
    <w:rsid w:val="00D65CFB"/>
    <w:rsid w:val="00D65E63"/>
    <w:rsid w:val="00D76174"/>
    <w:rsid w:val="00DA173A"/>
    <w:rsid w:val="00DB1686"/>
    <w:rsid w:val="00DB3522"/>
    <w:rsid w:val="00DB4086"/>
    <w:rsid w:val="00DB5C1B"/>
    <w:rsid w:val="00DC632C"/>
    <w:rsid w:val="00DC75DD"/>
    <w:rsid w:val="00DE371D"/>
    <w:rsid w:val="00E118E2"/>
    <w:rsid w:val="00E151E2"/>
    <w:rsid w:val="00E23DD9"/>
    <w:rsid w:val="00E3775D"/>
    <w:rsid w:val="00E46C37"/>
    <w:rsid w:val="00E51316"/>
    <w:rsid w:val="00E53FF0"/>
    <w:rsid w:val="00E7099F"/>
    <w:rsid w:val="00EA43EF"/>
    <w:rsid w:val="00EA7190"/>
    <w:rsid w:val="00EB368E"/>
    <w:rsid w:val="00EC7010"/>
    <w:rsid w:val="00ED5E55"/>
    <w:rsid w:val="00ED638A"/>
    <w:rsid w:val="00EF45EF"/>
    <w:rsid w:val="00F23CAE"/>
    <w:rsid w:val="00F26E27"/>
    <w:rsid w:val="00F44C95"/>
    <w:rsid w:val="00F51872"/>
    <w:rsid w:val="00F71EC5"/>
    <w:rsid w:val="00F72365"/>
    <w:rsid w:val="00F86834"/>
    <w:rsid w:val="00FC453A"/>
    <w:rsid w:val="00FD1466"/>
    <w:rsid w:val="00FD3748"/>
    <w:rsid w:val="00FD6847"/>
    <w:rsid w:val="00FF0A4A"/>
    <w:rsid w:val="0A927EBD"/>
    <w:rsid w:val="13C72E82"/>
    <w:rsid w:val="175120CE"/>
    <w:rsid w:val="19815BE6"/>
    <w:rsid w:val="1A612CD6"/>
    <w:rsid w:val="3D263ADF"/>
    <w:rsid w:val="62340FAB"/>
    <w:rsid w:val="62B405FF"/>
    <w:rsid w:val="67242132"/>
    <w:rsid w:val="76F75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line="360" w:lineRule="auto"/>
      <w:ind w:firstLine="709"/>
      <w:jc w:val="both"/>
    </w:pPr>
    <w:rPr>
      <w:rFonts w:eastAsia="Calibri"/>
      <w:sz w:val="24"/>
      <w:szCs w:val="24"/>
      <w:lang w:val="ru-RU"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Segoe UI" w:hAnsi="Segoe UI" w:cs="Segoe UI"/>
      <w:sz w:val="18"/>
      <w:szCs w:val="18"/>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UyteHipercze">
    <w:name w:val="FollowedHyperlink"/>
    <w:uiPriority w:val="99"/>
    <w:semiHidden/>
    <w:unhideWhenUsed/>
    <w:rPr>
      <w:color w:val="954F72"/>
      <w:u w:val="single"/>
    </w:rPr>
  </w:style>
  <w:style w:type="paragraph" w:styleId="Stopka">
    <w:name w:val="footer"/>
    <w:basedOn w:val="Normalny"/>
    <w:link w:val="StopkaZnak"/>
    <w:uiPriority w:val="99"/>
    <w:unhideWhenUsed/>
    <w:pPr>
      <w:tabs>
        <w:tab w:val="center" w:pos="4677"/>
        <w:tab w:val="right" w:pos="9355"/>
      </w:tabs>
    </w:pPr>
  </w:style>
  <w:style w:type="character" w:styleId="Odwoanieprzypisudolnego">
    <w:name w:val="footnote reference"/>
    <w:uiPriority w:val="99"/>
    <w:unhideWhenUsed/>
    <w:rPr>
      <w:vertAlign w:val="superscript"/>
    </w:rPr>
  </w:style>
  <w:style w:type="paragraph" w:styleId="Tekstprzypisudolnego">
    <w:name w:val="footnote text"/>
    <w:basedOn w:val="Normalny"/>
    <w:link w:val="TekstprzypisudolnegoZnak"/>
    <w:uiPriority w:val="99"/>
    <w:unhideWhenUsed/>
  </w:style>
  <w:style w:type="character" w:styleId="Hipercze">
    <w:name w:val="Hyperlink"/>
    <w:uiPriority w:val="99"/>
    <w:unhideWhenUsed/>
    <w:rPr>
      <w:color w:val="0000FF"/>
      <w:u w:val="single"/>
    </w:rPr>
  </w:style>
  <w:style w:type="paragraph" w:styleId="NormalnyWeb">
    <w:name w:val="Normal (Web)"/>
    <w:basedOn w:val="Normalny"/>
    <w:uiPriority w:val="99"/>
    <w:semiHidden/>
    <w:unhideWhenUsed/>
    <w:pPr>
      <w:spacing w:before="100" w:beforeAutospacing="1" w:after="100" w:afterAutospacing="1" w:line="240" w:lineRule="auto"/>
      <w:ind w:firstLine="0"/>
      <w:jc w:val="left"/>
    </w:pPr>
    <w:rPr>
      <w:rFonts w:eastAsia="Times New Roman"/>
      <w:lang w:val="da-DK" w:eastAsia="da-DK"/>
    </w:rPr>
  </w:style>
  <w:style w:type="character" w:styleId="Numerstrony">
    <w:name w:val="page number"/>
    <w:basedOn w:val="Domylnaczcionkaakapitu"/>
    <w:uiPriority w:val="99"/>
    <w:semiHidden/>
    <w:unhideWhenUsed/>
  </w:style>
  <w:style w:type="character" w:customStyle="1" w:styleId="TekstprzypisudolnegoZnak">
    <w:name w:val="Tekst przypisu dolnego Znak"/>
    <w:basedOn w:val="Domylnaczcionkaakapitu"/>
    <w:link w:val="Tekstprzypisudolnego"/>
    <w:uiPriority w:val="99"/>
  </w:style>
  <w:style w:type="character" w:customStyle="1" w:styleId="StopkaZnak">
    <w:name w:val="Stopka Znak"/>
    <w:basedOn w:val="Domylnaczcionkaakapitu"/>
    <w:link w:val="Stopka"/>
    <w:uiPriority w:val="99"/>
  </w:style>
  <w:style w:type="character" w:customStyle="1" w:styleId="TekstkomentarzaZnak">
    <w:name w:val="Tekst komentarza Znak"/>
    <w:link w:val="Tekstkomentarza"/>
    <w:uiPriority w:val="99"/>
    <w:semiHidden/>
    <w:rPr>
      <w:sz w:val="20"/>
      <w:szCs w:val="20"/>
    </w:rPr>
  </w:style>
  <w:style w:type="character" w:customStyle="1" w:styleId="TematkomentarzaZnak">
    <w:name w:val="Temat komentarza Znak"/>
    <w:link w:val="Tematkomentarza"/>
    <w:uiPriority w:val="99"/>
    <w:semiHidden/>
    <w:rPr>
      <w:b/>
      <w:bCs/>
      <w:sz w:val="20"/>
      <w:szCs w:val="20"/>
    </w:rPr>
  </w:style>
  <w:style w:type="character" w:customStyle="1" w:styleId="TekstdymkaZnak">
    <w:name w:val="Tekst dymka Znak"/>
    <w:link w:val="Tekstdymka"/>
    <w:uiPriority w:val="99"/>
    <w:semiHidden/>
    <w:rPr>
      <w:rFonts w:ascii="Segoe UI" w:hAnsi="Segoe UI" w:cs="Segoe UI"/>
      <w:sz w:val="18"/>
      <w:szCs w:val="18"/>
    </w:rPr>
  </w:style>
  <w:style w:type="paragraph" w:customStyle="1" w:styleId="Normalny1">
    <w:name w:val="Normalny1"/>
    <w:pPr>
      <w:spacing w:line="360" w:lineRule="auto"/>
      <w:ind w:firstLine="709"/>
      <w:jc w:val="both"/>
    </w:pPr>
    <w:rPr>
      <w:rFonts w:eastAsia="Times New Roman"/>
      <w:sz w:val="24"/>
      <w:szCs w:val="24"/>
    </w:rPr>
  </w:style>
  <w:style w:type="character" w:customStyle="1" w:styleId="tlid-translation">
    <w:name w:val="tlid-translation"/>
    <w:basedOn w:val="Domylnaczcionkaakapitu"/>
  </w:style>
  <w:style w:type="paragraph" w:styleId="Akapitzlist">
    <w:name w:val="List Paragraph"/>
    <w:basedOn w:val="Normalny"/>
    <w:uiPriority w:val="34"/>
    <w:qFormat/>
    <w:pPr>
      <w:ind w:left="720"/>
      <w:contextualSpacing/>
    </w:pPr>
  </w:style>
  <w:style w:type="character" w:customStyle="1" w:styleId="UnresolvedMention">
    <w:name w:val="Unresolved Mention"/>
    <w:uiPriority w:val="99"/>
    <w:semiHidden/>
    <w:unhideWhenUsed/>
    <w:rPr>
      <w:color w:val="605E5C"/>
      <w:shd w:val="clear" w:color="auto" w:fill="E1DFDD"/>
    </w:rPr>
  </w:style>
  <w:style w:type="character" w:customStyle="1" w:styleId="Style23">
    <w:name w:val="_Style 23"/>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zegladeuropejski.com.pl/resources/html/cmsi/226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Przeglad-Europejski-manuscript-template-eng</Template>
  <TotalTime>3</TotalTime>
  <Pages>2</Pages>
  <Words>693</Words>
  <Characters>4161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Uniwersytet</dc:creator>
  <cp:lastModifiedBy>Uniwersytet</cp:lastModifiedBy>
  <cp:revision>1</cp:revision>
  <dcterms:created xsi:type="dcterms:W3CDTF">2026-06-18T15:39:00Z</dcterms:created>
  <dcterms:modified xsi:type="dcterms:W3CDTF">2026-06-18T15:42:00Z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7CECDC1F8BC043DAA6E7F6670879BFF3_11</vt:lpwstr>
  </property>
  <property fmtid="{D5CDD505-2E9C-101B-9397-08002B2CF9AE}" pid="3" name="KSOProductBuildVer">
    <vt:lpwstr>1045-12.2.0.21179</vt:lpwstr>
  </property>
</Properties>
</file>